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578C" w:rsidRDefault="0000578C">
      <w:pPr>
        <w:widowControl w:val="0"/>
        <w:pBdr>
          <w:top w:val="nil"/>
          <w:left w:val="nil"/>
          <w:bottom w:val="nil"/>
          <w:right w:val="nil"/>
          <w:between w:val="nil"/>
        </w:pBdr>
        <w:spacing w:after="0" w:line="276" w:lineRule="auto"/>
      </w:pPr>
    </w:p>
    <w:p w:rsidR="0000578C" w:rsidRDefault="00A16CC6">
      <w:pPr>
        <w:rPr>
          <w:rFonts w:ascii="Arial" w:eastAsia="Arial" w:hAnsi="Arial" w:cs="Arial"/>
          <w:b/>
        </w:rPr>
      </w:pPr>
      <w:r w:rsidRPr="00A16CC6">
        <w:rPr>
          <w:noProof/>
        </w:rPr>
        <w:pict>
          <v:shape id="Freeform: Shape 1648871333" o:spid="_x0000_s1026" style="position:absolute;margin-left:7pt;margin-top:-59pt;width:478.75pt;height:75pt;z-index:251658240;visibility:visible" coordsize="6003925,8763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" adj="-11796480,,5400" path="m,l,876300r6003925,l6003925,,,xe" fillcolor="black" strokecolor="#f2f2f2" strokeweight="3pt">
            <v:stroke startarrowwidth="narrow" startarrowlength="short" endarrowwidth="narrow" endarrowlength="short" miterlimit="5243f" joinstyle="miter"/>
            <v:formulas/>
            <v:path arrowok="t" o:extrusionok="f" o:connecttype="segments" textboxrect="0,0,6003925,876300"/>
            <v:textbox inset="7pt,3pt,7pt,3pt">
              <w:txbxContent>
                <w:p w:rsidR="0000578C" w:rsidRDefault="00510A19">
                  <w:pPr>
                    <w:spacing w:line="277" w:lineRule="auto"/>
                    <w:jc w:val="center"/>
                    <w:textDirection w:val="btLr"/>
                  </w:pPr>
                  <w:r>
                    <w:rPr>
                      <w:color w:val="FFFF00"/>
                      <w:sz w:val="96"/>
                    </w:rPr>
                    <w:t>Sponsored Content</w:t>
                  </w:r>
                </w:p>
              </w:txbxContent>
            </v:textbox>
          </v:shape>
        </w:pict>
      </w:r>
    </w:p>
    <w:p w:rsidR="0000578C" w:rsidRDefault="0000578C">
      <w:pPr>
        <w:rPr>
          <w:rFonts w:ascii="Arial" w:eastAsia="Arial" w:hAnsi="Arial" w:cs="Arial"/>
          <w:highlight w:val="yellow"/>
        </w:rPr>
      </w:pPr>
    </w:p>
    <w:p w:rsidR="0000578C" w:rsidRDefault="00510A19">
      <w:pPr>
        <w:jc w:val="center"/>
        <w:rPr>
          <w:rFonts w:ascii="Arial" w:eastAsia="Arial" w:hAnsi="Arial" w:cs="Arial"/>
          <w:b/>
          <w:sz w:val="40"/>
          <w:szCs w:val="40"/>
        </w:rPr>
      </w:pPr>
      <w:r>
        <w:rPr>
          <w:rFonts w:ascii="Arial" w:eastAsia="Arial" w:hAnsi="Arial" w:cs="Arial"/>
          <w:b/>
          <w:color w:val="222222"/>
          <w:sz w:val="40"/>
          <w:szCs w:val="40"/>
          <w:highlight w:val="white"/>
        </w:rPr>
        <w:t>AI Interpreting Across the Patient Journey: GLOBO’s Scalable Approach to Language Access and Equity</w:t>
      </w:r>
    </w:p>
    <w:p w:rsidR="0000578C" w:rsidRDefault="0000578C">
      <w:pPr>
        <w:pStyle w:val="Title"/>
        <w:spacing w:after="0"/>
        <w:rPr>
          <w:rFonts w:ascii="Arial" w:eastAsia="Arial" w:hAnsi="Arial" w:cs="Arial"/>
          <w:b/>
          <w:sz w:val="36"/>
          <w:szCs w:val="36"/>
        </w:rPr>
      </w:pPr>
      <w:bookmarkStart w:id="0" w:name="_heading=h.xk72uwla6e5d" w:colFirst="0" w:colLast="0"/>
      <w:bookmarkEnd w:id="0"/>
    </w:p>
    <w:p w:rsidR="0000578C" w:rsidRDefault="00510A19">
      <w:pPr>
        <w:pStyle w:val="Title"/>
        <w:rPr>
          <w:rFonts w:ascii="Arial" w:eastAsia="Arial" w:hAnsi="Arial" w:cs="Arial"/>
          <w:b/>
          <w:sz w:val="36"/>
          <w:szCs w:val="36"/>
        </w:rPr>
      </w:pPr>
      <w:r>
        <w:rPr>
          <w:rFonts w:ascii="Arial" w:eastAsia="Arial" w:hAnsi="Arial" w:cs="Arial"/>
          <w:b/>
          <w:sz w:val="36"/>
          <w:szCs w:val="36"/>
        </w:rPr>
        <w:t>The Transformative Power of AI on Language Solutions</w:t>
      </w:r>
    </w:p>
    <w:p w:rsidR="0000578C" w:rsidRDefault="00510A19">
      <w:pPr>
        <w:rPr>
          <w:rFonts w:ascii="Arial" w:eastAsia="Arial" w:hAnsi="Arial" w:cs="Arial"/>
          <w:b/>
        </w:rPr>
      </w:pPr>
      <w:r>
        <w:rPr>
          <w:rFonts w:ascii="Arial" w:eastAsia="Arial" w:hAnsi="Arial" w:cs="Arial"/>
          <w:b/>
        </w:rPr>
        <w:t xml:space="preserve">By Dipak Patel, CEO, </w:t>
      </w:r>
      <w:hyperlink r:id="rId8">
        <w:r>
          <w:rPr>
            <w:rFonts w:ascii="Arial" w:eastAsia="Arial" w:hAnsi="Arial" w:cs="Arial"/>
            <w:b/>
            <w:color w:val="1155CC"/>
            <w:u w:val="single"/>
          </w:rPr>
          <w:t>GLOBO Language Solutions</w:t>
        </w:r>
      </w:hyperlink>
    </w:p>
    <w:p w:rsidR="0000578C" w:rsidRDefault="0000578C">
      <w:pPr>
        <w:rPr>
          <w:rFonts w:ascii="Arial" w:eastAsia="Arial" w:hAnsi="Arial" w:cs="Arial"/>
          <w:b/>
        </w:rPr>
      </w:pPr>
    </w:p>
    <w:p w:rsidR="0000578C" w:rsidRDefault="00510A19">
      <w:pPr>
        <w:rPr>
          <w:rFonts w:ascii="Arial" w:eastAsia="Arial" w:hAnsi="Arial" w:cs="Arial"/>
          <w:b/>
        </w:rPr>
      </w:pPr>
      <w:r>
        <w:rPr>
          <w:rFonts w:ascii="Arial" w:eastAsia="Arial" w:hAnsi="Arial" w:cs="Arial"/>
          <w:b/>
          <w:noProof/>
          <w:lang w:val="en-US"/>
        </w:rPr>
        <w:drawing>
          <wp:inline distT="114300" distB="114300" distL="114300" distR="114300">
            <wp:extent cx="5438775" cy="3400425"/>
            <wp:effectExtent l="0" t="0" r="0" b="0"/>
            <wp:docPr id="164887133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9"/>
                    <a:srcRect/>
                    <a:stretch>
                      <a:fillRect/>
                    </a:stretch>
                  </pic:blipFill>
                  <pic:spPr>
                    <a:xfrm>
                      <a:off x="0" y="0"/>
                      <a:ext cx="5438775" cy="3400425"/>
                    </a:xfrm>
                    <a:prstGeom prst="rect">
                      <a:avLst/>
                    </a:prstGeom>
                    <a:ln/>
                  </pic:spPr>
                </pic:pic>
              </a:graphicData>
            </a:graphic>
          </wp:inline>
        </w:drawing>
      </w:r>
    </w:p>
    <w:p w:rsidR="0000578C" w:rsidRDefault="00510A19">
      <w:pPr>
        <w:rPr>
          <w:rFonts w:ascii="Arial" w:eastAsia="Arial" w:hAnsi="Arial" w:cs="Arial"/>
          <w:vertAlign w:val="superscript"/>
        </w:rPr>
      </w:pPr>
      <w:r>
        <w:rPr>
          <w:rFonts w:ascii="Arial" w:eastAsia="Arial" w:hAnsi="Arial" w:cs="Arial"/>
        </w:rPr>
        <w:t xml:space="preserve">While generative artificial intelligence (AI) is expected to be “transformative” across a wide range of healthcare applications, its near-term impact is expected to be particularly compelling for limited-English-speaking patients. For this community, which frequently struggles to understand and be understood, AI promises to vastly improve translation and interpreting access, going beyond today’s limited capacity to connect the entire patient journey. </w:t>
      </w:r>
    </w:p>
    <w:p w:rsidR="0000578C" w:rsidRDefault="00510A19">
      <w:pPr>
        <w:rPr>
          <w:rFonts w:ascii="Arial" w:eastAsia="Arial" w:hAnsi="Arial" w:cs="Arial"/>
        </w:rPr>
      </w:pPr>
      <w:r>
        <w:rPr>
          <w:rFonts w:ascii="Arial" w:eastAsia="Arial" w:hAnsi="Arial" w:cs="Arial"/>
        </w:rPr>
        <w:lastRenderedPageBreak/>
        <w:t xml:space="preserve">More than just a matter of convenience, broader coverage using AI potentially encompasses many touchpoints and promises a much-needed lifeline to quality care for the </w:t>
      </w:r>
      <w:hyperlink r:id="rId10">
        <w:r>
          <w:rPr>
            <w:rFonts w:ascii="Arial" w:eastAsia="Arial" w:hAnsi="Arial" w:cs="Arial"/>
            <w:color w:val="1155CC"/>
            <w:u w:val="single"/>
          </w:rPr>
          <w:t>68 million people</w:t>
        </w:r>
      </w:hyperlink>
      <w:r>
        <w:rPr>
          <w:rFonts w:ascii="Arial" w:eastAsia="Arial" w:hAnsi="Arial" w:cs="Arial"/>
          <w:vertAlign w:val="superscript"/>
        </w:rPr>
        <w:t xml:space="preserve">1  </w:t>
      </w:r>
      <w:r>
        <w:rPr>
          <w:rFonts w:ascii="Arial" w:eastAsia="Arial" w:hAnsi="Arial" w:cs="Arial"/>
        </w:rPr>
        <w:t>who speak a language other than English residing in the U.S. today.</w:t>
      </w:r>
    </w:p>
    <w:p w:rsidR="0000578C" w:rsidRDefault="00510A19">
      <w:pPr>
        <w:rPr>
          <w:rFonts w:ascii="Arial" w:eastAsia="Arial" w:hAnsi="Arial" w:cs="Arial"/>
        </w:rPr>
      </w:pPr>
      <w:r>
        <w:rPr>
          <w:rFonts w:ascii="Arial" w:eastAsia="Arial" w:hAnsi="Arial" w:cs="Arial"/>
          <w:b/>
        </w:rPr>
        <w:t>How severe is the need?</w:t>
      </w:r>
    </w:p>
    <w:p w:rsidR="0000578C" w:rsidRDefault="00510A19">
      <w:pPr>
        <w:rPr>
          <w:rFonts w:ascii="Arial" w:eastAsia="Arial" w:hAnsi="Arial" w:cs="Arial"/>
        </w:rPr>
      </w:pPr>
      <w:r>
        <w:rPr>
          <w:rFonts w:ascii="Arial" w:eastAsia="Arial" w:hAnsi="Arial" w:cs="Arial"/>
        </w:rPr>
        <w:t xml:space="preserve">The </w:t>
      </w:r>
      <w:hyperlink r:id="rId11">
        <w:r>
          <w:rPr>
            <w:rFonts w:ascii="Arial" w:eastAsia="Arial" w:hAnsi="Arial" w:cs="Arial"/>
            <w:color w:val="467886"/>
            <w:u w:val="single"/>
          </w:rPr>
          <w:t>National Institutes of Health</w:t>
        </w:r>
      </w:hyperlink>
      <w:r>
        <w:rPr>
          <w:rFonts w:ascii="Arial" w:eastAsia="Arial" w:hAnsi="Arial" w:cs="Arial"/>
          <w:vertAlign w:val="superscript"/>
        </w:rPr>
        <w:t>2</w:t>
      </w:r>
      <w:r>
        <w:rPr>
          <w:rFonts w:ascii="Arial" w:eastAsia="Arial" w:hAnsi="Arial" w:cs="Arial"/>
        </w:rPr>
        <w:t xml:space="preserve"> (NIH) found that a lack of adequate translation and interpretation often leads to miscommunication between clinicians and patients, impacting patient satisfaction, quality of healthcare delivery, and patient safety.  A </w:t>
      </w:r>
      <w:hyperlink r:id="rId12" w:anchor=":~:text=The%20physician%2Dpatient%20relationship%20is,outcomes%20and%20their%20medical%20care.">
        <w:r>
          <w:rPr>
            <w:rFonts w:ascii="Arial" w:eastAsia="Arial" w:hAnsi="Arial" w:cs="Arial"/>
            <w:color w:val="467886"/>
            <w:u w:val="single"/>
          </w:rPr>
          <w:t>study</w:t>
        </w:r>
      </w:hyperlink>
      <w:r>
        <w:rPr>
          <w:rFonts w:ascii="Arial" w:eastAsia="Arial" w:hAnsi="Arial" w:cs="Arial"/>
          <w:vertAlign w:val="superscript"/>
        </w:rPr>
        <w:t>3</w:t>
      </w:r>
      <w:r>
        <w:rPr>
          <w:rFonts w:ascii="Arial" w:eastAsia="Arial" w:hAnsi="Arial" w:cs="Arial"/>
        </w:rPr>
        <w:t xml:space="preserve"> by the Duke Center for Personalization Health Care rated “speech ability or language articulation, and foreign language spoken,” as top variables having “profound positive and negative implications on healthcare … correlating to improved patient outcomes.”</w:t>
      </w:r>
    </w:p>
    <w:p w:rsidR="0000578C" w:rsidRDefault="00510A19">
      <w:pPr>
        <w:rPr>
          <w:rFonts w:ascii="Arial" w:eastAsia="Arial" w:hAnsi="Arial" w:cs="Arial"/>
        </w:rPr>
      </w:pPr>
      <w:r>
        <w:rPr>
          <w:rFonts w:ascii="Arial" w:eastAsia="Arial" w:hAnsi="Arial" w:cs="Arial"/>
        </w:rPr>
        <w:t xml:space="preserve">While providers that receive federal assistance are bound by </w:t>
      </w:r>
      <w:hyperlink r:id="rId13">
        <w:r>
          <w:rPr>
            <w:rFonts w:ascii="Arial" w:eastAsia="Arial" w:hAnsi="Arial" w:cs="Arial"/>
            <w:color w:val="467886"/>
            <w:u w:val="single"/>
          </w:rPr>
          <w:t>law</w:t>
        </w:r>
      </w:hyperlink>
      <w:r>
        <w:rPr>
          <w:rFonts w:ascii="Arial" w:eastAsia="Arial" w:hAnsi="Arial" w:cs="Arial"/>
          <w:vertAlign w:val="superscript"/>
        </w:rPr>
        <w:t>4</w:t>
      </w:r>
      <w:r>
        <w:rPr>
          <w:rFonts w:ascii="Arial" w:eastAsia="Arial" w:hAnsi="Arial" w:cs="Arial"/>
        </w:rPr>
        <w:t xml:space="preserve"> to provide translation and interpreting services as needed, compliance remains sporadic if not at all. In some cases, patients who need linguistic support only receive it when they have an emergency room visit or are discharged from the hospital.</w:t>
      </w:r>
    </w:p>
    <w:p w:rsidR="0000578C" w:rsidRDefault="00510A19">
      <w:pPr>
        <w:rPr>
          <w:rFonts w:ascii="Arial" w:eastAsia="Arial" w:hAnsi="Arial" w:cs="Arial"/>
        </w:rPr>
      </w:pPr>
      <w:r>
        <w:rPr>
          <w:rFonts w:ascii="Arial" w:eastAsia="Arial" w:hAnsi="Arial" w:cs="Arial"/>
          <w:b/>
        </w:rPr>
        <w:t>What are the barriers?</w:t>
      </w:r>
    </w:p>
    <w:p w:rsidR="0000578C" w:rsidRDefault="00510A19">
      <w:pPr>
        <w:rPr>
          <w:rFonts w:ascii="Arial" w:eastAsia="Arial" w:hAnsi="Arial" w:cs="Arial"/>
        </w:rPr>
      </w:pPr>
      <w:r>
        <w:rPr>
          <w:rFonts w:ascii="Arial" w:eastAsia="Arial" w:hAnsi="Arial" w:cs="Arial"/>
        </w:rPr>
        <w:t xml:space="preserve">Limited access is currently due to cost and resource constraints. Studies have found that healthcare facilities incur roughly </w:t>
      </w:r>
      <w:hyperlink r:id="rId14">
        <w:r>
          <w:rPr>
            <w:rFonts w:ascii="Arial" w:eastAsia="Arial" w:hAnsi="Arial" w:cs="Arial"/>
            <w:color w:val="467886"/>
            <w:u w:val="single"/>
          </w:rPr>
          <w:t>$279 per patient per year</w:t>
        </w:r>
      </w:hyperlink>
      <w:r>
        <w:rPr>
          <w:rFonts w:ascii="Arial" w:eastAsia="Arial" w:hAnsi="Arial" w:cs="Arial"/>
          <w:vertAlign w:val="superscript"/>
        </w:rPr>
        <w:t>5</w:t>
      </w:r>
      <w:r>
        <w:rPr>
          <w:rFonts w:ascii="Arial" w:eastAsia="Arial" w:hAnsi="Arial" w:cs="Arial"/>
        </w:rPr>
        <w:t xml:space="preserve">, with the availability of certified live resources in seriously short supply. According to </w:t>
      </w:r>
      <w:hyperlink r:id="rId15">
        <w:r>
          <w:rPr>
            <w:rFonts w:ascii="Arial" w:eastAsia="Arial" w:hAnsi="Arial" w:cs="Arial"/>
            <w:color w:val="467886"/>
            <w:u w:val="single"/>
          </w:rPr>
          <w:t>Statista</w:t>
        </w:r>
      </w:hyperlink>
      <w:r>
        <w:rPr>
          <w:rFonts w:ascii="Arial" w:eastAsia="Arial" w:hAnsi="Arial" w:cs="Arial"/>
          <w:vertAlign w:val="superscript"/>
        </w:rPr>
        <w:t>6</w:t>
      </w:r>
      <w:r>
        <w:rPr>
          <w:rFonts w:ascii="Arial" w:eastAsia="Arial" w:hAnsi="Arial" w:cs="Arial"/>
        </w:rPr>
        <w:t>, the total number of interpreters and translators employed in the U.S. in 2023 was just over 51,000.</w:t>
      </w:r>
    </w:p>
    <w:p w:rsidR="0000578C" w:rsidRDefault="00510A19">
      <w:pPr>
        <w:rPr>
          <w:rFonts w:ascii="Arial" w:eastAsia="Arial" w:hAnsi="Arial" w:cs="Arial"/>
          <w:b/>
        </w:rPr>
      </w:pPr>
      <w:r>
        <w:rPr>
          <w:rFonts w:ascii="Arial" w:eastAsia="Arial" w:hAnsi="Arial" w:cs="Arial"/>
          <w:b/>
        </w:rPr>
        <w:t>Leveraging AI as a “Superpower”</w:t>
      </w:r>
      <w:r>
        <w:rPr>
          <w:noProof/>
          <w:lang w:val="en-US"/>
        </w:rPr>
        <w:drawing>
          <wp:anchor distT="114300" distB="114300" distL="114300" distR="114300" simplePos="0" relativeHeight="251659264" behindDoc="0" locked="0" layoutInCell="1" allowOverlap="1">
            <wp:simplePos x="0" y="0"/>
            <wp:positionH relativeFrom="column">
              <wp:posOffset>4491037</wp:posOffset>
            </wp:positionH>
            <wp:positionV relativeFrom="paragraph">
              <wp:posOffset>114300</wp:posOffset>
            </wp:positionV>
            <wp:extent cx="1452563" cy="2814340"/>
            <wp:effectExtent l="0" t="0" r="0" b="0"/>
            <wp:wrapSquare wrapText="bothSides" distT="114300" distB="114300" distL="114300" distR="114300"/>
            <wp:docPr id="164887133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6"/>
                    <a:srcRect/>
                    <a:stretch>
                      <a:fillRect/>
                    </a:stretch>
                  </pic:blipFill>
                  <pic:spPr>
                    <a:xfrm>
                      <a:off x="0" y="0"/>
                      <a:ext cx="1452563" cy="2814340"/>
                    </a:xfrm>
                    <a:prstGeom prst="rect">
                      <a:avLst/>
                    </a:prstGeom>
                    <a:ln/>
                  </pic:spPr>
                </pic:pic>
              </a:graphicData>
            </a:graphic>
          </wp:anchor>
        </w:drawing>
      </w:r>
    </w:p>
    <w:p w:rsidR="0000578C" w:rsidRDefault="00510A19">
      <w:pPr>
        <w:rPr>
          <w:rFonts w:ascii="Arial" w:eastAsia="Arial" w:hAnsi="Arial" w:cs="Arial"/>
        </w:rPr>
      </w:pPr>
      <w:r>
        <w:rPr>
          <w:rFonts w:ascii="Arial" w:eastAsia="Arial" w:hAnsi="Arial" w:cs="Arial"/>
        </w:rPr>
        <w:t>It is no exaggeration that healthcare organizations embracing AI-enabled language services will likely find themselves at the forefront of transforming healthcare, leveraging the technology as a “superpower” to enhance language access along the patient journey. When re-imagining the language and interpretation space, AI is expected to provide:</w:t>
      </w:r>
    </w:p>
    <w:p w:rsidR="0000578C" w:rsidRDefault="00510A19">
      <w:pPr>
        <w:numPr>
          <w:ilvl w:val="0"/>
          <w:numId w:val="2"/>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Use of healthcare-optimized interpretation technology, such as AI interpreter, </w:t>
      </w:r>
      <w:hyperlink r:id="rId17">
        <w:r>
          <w:rPr>
            <w:rFonts w:ascii="Arial" w:eastAsia="Arial" w:hAnsi="Arial" w:cs="Arial"/>
            <w:color w:val="1155CC"/>
            <w:u w:val="single"/>
          </w:rPr>
          <w:t>GLOBO KAI™</w:t>
        </w:r>
      </w:hyperlink>
      <w:r>
        <w:rPr>
          <w:rFonts w:ascii="Arial" w:eastAsia="Arial" w:hAnsi="Arial" w:cs="Arial"/>
          <w:color w:val="000000"/>
          <w:vertAlign w:val="superscript"/>
        </w:rPr>
        <w:t>7</w:t>
      </w:r>
      <w:r>
        <w:rPr>
          <w:rFonts w:ascii="Arial" w:eastAsia="Arial" w:hAnsi="Arial" w:cs="Arial"/>
          <w:color w:val="000000"/>
        </w:rPr>
        <w:t xml:space="preserve">,  which is accessible to users through </w:t>
      </w:r>
      <w:hyperlink r:id="rId18">
        <w:r>
          <w:rPr>
            <w:rFonts w:ascii="Arial" w:eastAsia="Arial" w:hAnsi="Arial" w:cs="Arial"/>
            <w:color w:val="467886"/>
            <w:u w:val="single"/>
          </w:rPr>
          <w:t>GLOBO Connect</w:t>
        </w:r>
      </w:hyperlink>
      <w:r>
        <w:rPr>
          <w:rFonts w:ascii="Arial" w:eastAsia="Arial" w:hAnsi="Arial" w:cs="Arial"/>
          <w:color w:val="000000"/>
          <w:vertAlign w:val="superscript"/>
        </w:rPr>
        <w:t>8</w:t>
      </w:r>
      <w:r>
        <w:rPr>
          <w:rFonts w:ascii="Arial" w:eastAsia="Arial" w:hAnsi="Arial" w:cs="Arial"/>
          <w:color w:val="000000"/>
        </w:rPr>
        <w:t>, to provide interpreting services whenever and wherever for non-clinical, informational needs</w:t>
      </w:r>
    </w:p>
    <w:p w:rsidR="0000578C" w:rsidRDefault="00510A19">
      <w:pPr>
        <w:numPr>
          <w:ilvl w:val="0"/>
          <w:numId w:val="2"/>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Increased use of live interpreting via telehealth or on-</w:t>
      </w:r>
      <w:r>
        <w:rPr>
          <w:rFonts w:ascii="Arial" w:eastAsia="Arial" w:hAnsi="Arial" w:cs="Arial"/>
          <w:color w:val="000000"/>
        </w:rPr>
        <w:lastRenderedPageBreak/>
        <w:t>site for in-depth clinical discussions, with AI monitoring accuracy and the quality of conversations</w:t>
      </w:r>
    </w:p>
    <w:p w:rsidR="0000578C" w:rsidRDefault="00510A19">
      <w:pPr>
        <w:numPr>
          <w:ilvl w:val="0"/>
          <w:numId w:val="2"/>
        </w:num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Greater use of AI-assisted translation and interpreting platforms, such as </w:t>
      </w:r>
      <w:hyperlink r:id="rId19">
        <w:r>
          <w:rPr>
            <w:rFonts w:ascii="Arial" w:eastAsia="Arial" w:hAnsi="Arial" w:cs="Arial"/>
            <w:color w:val="467886"/>
            <w:u w:val="single"/>
          </w:rPr>
          <w:t>GLOBO HQ</w:t>
        </w:r>
      </w:hyperlink>
      <w:r>
        <w:rPr>
          <w:rFonts w:ascii="Arial" w:eastAsia="Arial" w:hAnsi="Arial" w:cs="Arial"/>
          <w:color w:val="000000"/>
          <w:vertAlign w:val="superscript"/>
        </w:rPr>
        <w:t>9</w:t>
      </w:r>
      <w:r>
        <w:rPr>
          <w:rFonts w:ascii="Arial" w:eastAsia="Arial" w:hAnsi="Arial" w:cs="Arial"/>
          <w:color w:val="000000"/>
        </w:rPr>
        <w:t>, as essential work and training tools</w:t>
      </w:r>
    </w:p>
    <w:p w:rsidR="0000578C" w:rsidRDefault="00510A19">
      <w:pPr>
        <w:rPr>
          <w:rFonts w:ascii="Arial" w:eastAsia="Arial" w:hAnsi="Arial" w:cs="Arial"/>
        </w:rPr>
      </w:pPr>
      <w:r>
        <w:rPr>
          <w:rFonts w:ascii="Arial" w:eastAsia="Arial" w:hAnsi="Arial" w:cs="Arial"/>
        </w:rPr>
        <w:t xml:space="preserve">Along with greatly improving communication, the use of generative AI also promises to be a financial game-changer. McKinsey &amp; Company and Harvard researchers estimate that AI is expected to impact healthcare savings by </w:t>
      </w:r>
      <w:hyperlink r:id="rId20">
        <w:r>
          <w:rPr>
            <w:rFonts w:ascii="Arial" w:eastAsia="Arial" w:hAnsi="Arial" w:cs="Arial"/>
            <w:color w:val="1155CC"/>
            <w:u w:val="single"/>
          </w:rPr>
          <w:t>5-10%</w:t>
        </w:r>
      </w:hyperlink>
      <w:hyperlink r:id="rId21">
        <w:r>
          <w:rPr>
            <w:rFonts w:ascii="Arial" w:eastAsia="Arial" w:hAnsi="Arial" w:cs="Arial"/>
            <w:color w:val="467886"/>
            <w:u w:val="single"/>
          </w:rPr>
          <w:t>,</w:t>
        </w:r>
      </w:hyperlink>
      <w:r>
        <w:rPr>
          <w:rFonts w:ascii="Arial" w:eastAsia="Arial" w:hAnsi="Arial" w:cs="Arial"/>
          <w:vertAlign w:val="superscript"/>
        </w:rPr>
        <w:t>10</w:t>
      </w:r>
      <w:r>
        <w:rPr>
          <w:rFonts w:ascii="Arial" w:eastAsia="Arial" w:hAnsi="Arial" w:cs="Arial"/>
        </w:rPr>
        <w:t xml:space="preserve"> or roughly $360 billion annually. While it is anybody’s guess how much of this will come from improved language solutions, we do know better informed provider-patient communications reduces unnecessary tests and readmission rates, along with relieving overburdened staff through efficiency gains – a win-win for all. </w:t>
      </w:r>
    </w:p>
    <w:p w:rsidR="0000578C" w:rsidRDefault="00510A19">
      <w:pPr>
        <w:rPr>
          <w:rFonts w:ascii="Arial" w:eastAsia="Arial" w:hAnsi="Arial" w:cs="Arial"/>
          <w:b/>
        </w:rPr>
      </w:pPr>
      <w:r>
        <w:rPr>
          <w:rFonts w:ascii="Arial" w:eastAsia="Arial" w:hAnsi="Arial" w:cs="Arial"/>
          <w:b/>
        </w:rPr>
        <w:t>About the author, Dipak Patel</w:t>
      </w:r>
    </w:p>
    <w:p w:rsidR="0000578C" w:rsidRDefault="00510A19">
      <w:pPr>
        <w:rPr>
          <w:rFonts w:ascii="Arial" w:eastAsia="Arial" w:hAnsi="Arial" w:cs="Arial"/>
          <w:highlight w:val="yellow"/>
        </w:rPr>
      </w:pPr>
      <w:r>
        <w:rPr>
          <w:rFonts w:ascii="Arial" w:eastAsia="Arial" w:hAnsi="Arial" w:cs="Arial"/>
        </w:rPr>
        <w:t xml:space="preserve">Dipak Patel is CEO of GLOBO Language Solutions, a B2B provider of translation, interpretation, and technology services for multiple industries, including healthcare. Previously, Patel spent 20-plus years in corporate healthcare leadership roles. The son of immigrants, he understands the significance of eliminating language barriers to improve healthcare equity. </w:t>
      </w:r>
      <w:r>
        <w:br w:type="page"/>
      </w:r>
    </w:p>
    <w:p w:rsidR="0000578C" w:rsidRDefault="00510A19">
      <w:pPr>
        <w:pStyle w:val="Title"/>
        <w:rPr>
          <w:rFonts w:ascii="Arial" w:eastAsia="Arial" w:hAnsi="Arial" w:cs="Arial"/>
          <w:b/>
          <w:sz w:val="34"/>
          <w:szCs w:val="34"/>
        </w:rPr>
      </w:pPr>
      <w:bookmarkStart w:id="1" w:name="_heading=h.rbnjj1pe7km7" w:colFirst="0" w:colLast="0"/>
      <w:bookmarkEnd w:id="1"/>
      <w:r>
        <w:rPr>
          <w:rFonts w:ascii="Arial" w:eastAsia="Arial" w:hAnsi="Arial" w:cs="Arial"/>
          <w:b/>
          <w:sz w:val="34"/>
          <w:szCs w:val="34"/>
        </w:rPr>
        <w:lastRenderedPageBreak/>
        <w:t>Healthcare Organization Embraces AI with GLOBO KAI™</w:t>
      </w:r>
    </w:p>
    <w:p w:rsidR="0000578C" w:rsidRDefault="00510A19">
      <w:pPr>
        <w:rPr>
          <w:rFonts w:ascii="Arial" w:eastAsia="Arial" w:hAnsi="Arial" w:cs="Arial"/>
        </w:rPr>
      </w:pPr>
      <w:r>
        <w:rPr>
          <w:rFonts w:ascii="Arial" w:eastAsia="Arial" w:hAnsi="Arial" w:cs="Arial"/>
        </w:rPr>
        <w:t xml:space="preserve">The patient journey often includes numerous touchpoints before and after meeting with a healthcare provider. Each step is an opportunity to empower limited-English-speaking individuals, ensuring they feel understood and comprehend the care they’re receiving. Increased access is possible with the availability of </w:t>
      </w:r>
      <w:hyperlink r:id="rId22">
        <w:r>
          <w:rPr>
            <w:rFonts w:ascii="Arial" w:eastAsia="Arial" w:hAnsi="Arial" w:cs="Arial"/>
            <w:color w:val="1155CC"/>
            <w:u w:val="single"/>
          </w:rPr>
          <w:t>GLOBO KAI™</w:t>
        </w:r>
      </w:hyperlink>
      <w:r>
        <w:rPr>
          <w:rFonts w:ascii="Arial" w:eastAsia="Arial" w:hAnsi="Arial" w:cs="Arial"/>
          <w:vertAlign w:val="superscript"/>
        </w:rPr>
        <w:t>11</w:t>
      </w:r>
      <w:r>
        <w:rPr>
          <w:rFonts w:ascii="Arial" w:eastAsia="Arial" w:hAnsi="Arial" w:cs="Arial"/>
        </w:rPr>
        <w:t>, an AI interpreter now available to clinicians and healthcare staff at 3,000 U.S. health systems, hospitals, and physician practices nationwide.</w:t>
      </w:r>
    </w:p>
    <w:p w:rsidR="0000578C" w:rsidRDefault="00510A19">
      <w:pPr>
        <w:rPr>
          <w:rFonts w:ascii="Arial" w:eastAsia="Arial" w:hAnsi="Arial" w:cs="Arial"/>
        </w:rPr>
      </w:pPr>
      <w:r>
        <w:rPr>
          <w:rFonts w:ascii="Arial" w:eastAsia="Arial" w:hAnsi="Arial" w:cs="Arial"/>
        </w:rPr>
        <w:t>KAI is specifically optimized for healthcare, supporting more than 20 languages, including Spanish, Arabic, Mandarin, Cantonese, and Portuguese- Brazilian.</w:t>
      </w:r>
    </w:p>
    <w:p w:rsidR="0000578C" w:rsidRDefault="00510A19">
      <w:pPr>
        <w:rPr>
          <w:rFonts w:ascii="Arial" w:eastAsia="Arial" w:hAnsi="Arial" w:cs="Arial"/>
        </w:rPr>
      </w:pPr>
      <w:r>
        <w:rPr>
          <w:rFonts w:ascii="Arial" w:eastAsia="Arial" w:hAnsi="Arial" w:cs="Arial"/>
        </w:rPr>
        <w:t xml:space="preserve">Tested earlier this year with Spanish-speaking patients in a </w:t>
      </w:r>
      <w:hyperlink w:anchor="bookmark=id.6tsf0rev1upo">
        <w:r>
          <w:rPr>
            <w:rFonts w:ascii="Arial" w:eastAsia="Arial" w:hAnsi="Arial" w:cs="Arial"/>
            <w:color w:val="1155CC"/>
            <w:u w:val="single"/>
          </w:rPr>
          <w:t>pilot project</w:t>
        </w:r>
      </w:hyperlink>
      <w:r>
        <w:rPr>
          <w:rFonts w:ascii="Arial" w:eastAsia="Arial" w:hAnsi="Arial" w:cs="Arial"/>
        </w:rPr>
        <w:t xml:space="preserve"> at </w:t>
      </w:r>
      <w:hyperlink r:id="rId23">
        <w:r>
          <w:rPr>
            <w:rFonts w:ascii="Arial" w:eastAsia="Arial" w:hAnsi="Arial" w:cs="Arial"/>
            <w:color w:val="467886"/>
            <w:u w:val="single"/>
          </w:rPr>
          <w:t>Affinia Healthcare</w:t>
        </w:r>
      </w:hyperlink>
      <w:r>
        <w:rPr>
          <w:rFonts w:ascii="Arial" w:eastAsia="Arial" w:hAnsi="Arial" w:cs="Arial"/>
        </w:rPr>
        <w:t xml:space="preserve"> and other healthcare organizations, GLOBO KAI is proving to be a game changer in improving patient engagement for limited English proficiency (LEP) patients, helping to provide better coverage across their healthcare journey. </w:t>
      </w:r>
    </w:p>
    <w:p w:rsidR="0000578C" w:rsidRDefault="00510A19">
      <w:pPr>
        <w:rPr>
          <w:rFonts w:ascii="Arial" w:eastAsia="Arial" w:hAnsi="Arial" w:cs="Arial"/>
        </w:rPr>
      </w:pPr>
      <w:r>
        <w:rPr>
          <w:rFonts w:ascii="Arial" w:eastAsia="Arial" w:hAnsi="Arial" w:cs="Arial"/>
        </w:rPr>
        <w:t xml:space="preserve">Increased coverage is significant, as communication breakdowns can impact the quality and efficiency of care. A strong body of research </w:t>
      </w:r>
      <w:hyperlink r:id="rId24" w:anchor=":~:text=A%20strong%20body%20of%20research,that%20resulted%20in%20physical%20harm.">
        <w:r>
          <w:rPr>
            <w:rFonts w:ascii="Arial" w:eastAsia="Arial" w:hAnsi="Arial" w:cs="Arial"/>
            <w:color w:val="467886"/>
            <w:u w:val="single"/>
          </w:rPr>
          <w:t>studies</w:t>
        </w:r>
      </w:hyperlink>
      <w:r>
        <w:rPr>
          <w:rFonts w:ascii="Arial" w:eastAsia="Arial" w:hAnsi="Arial" w:cs="Arial"/>
          <w:vertAlign w:val="superscript"/>
        </w:rPr>
        <w:t xml:space="preserve">12  </w:t>
      </w:r>
      <w:r>
        <w:rPr>
          <w:rFonts w:ascii="Arial" w:eastAsia="Arial" w:hAnsi="Arial" w:cs="Arial"/>
          <w:highlight w:val="white"/>
        </w:rPr>
        <w:t xml:space="preserve">report that language barriers between providers and LEP patients lead to poorer outcomes and drive up the cost of care through increased readmissions, extended hospital stays, and preventable errors. </w:t>
      </w:r>
    </w:p>
    <w:p w:rsidR="0000578C" w:rsidRDefault="00510A19">
      <w:pPr>
        <w:pBdr>
          <w:top w:val="nil"/>
          <w:left w:val="nil"/>
          <w:bottom w:val="nil"/>
          <w:right w:val="nil"/>
          <w:between w:val="nil"/>
        </w:pBdr>
        <w:rPr>
          <w:rFonts w:ascii="Arial" w:eastAsia="Arial" w:hAnsi="Arial" w:cs="Arial"/>
          <w:highlight w:val="white"/>
        </w:rPr>
      </w:pPr>
      <w:r>
        <w:rPr>
          <w:rFonts w:ascii="Arial" w:eastAsia="Arial" w:hAnsi="Arial" w:cs="Arial"/>
          <w:highlight w:val="white"/>
        </w:rPr>
        <w:t xml:space="preserve">Despite widespread recognition of this challenge, some healthcare organizations and their language service providers struggle to consistently evaluate, improve, and expand the quality and reach of their medical interpreting services. Providing accurate, culturally appropriate, and linguistically sensitive interpretation throughout a limited-English-speaking patient’s care is key to equitable communication and sets the stage for better outcomes. </w:t>
      </w:r>
    </w:p>
    <w:p w:rsidR="0000578C" w:rsidRDefault="00510A19">
      <w:pPr>
        <w:rPr>
          <w:rFonts w:ascii="Arial" w:eastAsia="Arial" w:hAnsi="Arial" w:cs="Arial"/>
        </w:rPr>
      </w:pPr>
      <w:r>
        <w:rPr>
          <w:rFonts w:ascii="Arial" w:eastAsia="Arial" w:hAnsi="Arial" w:cs="Arial"/>
        </w:rPr>
        <w:t xml:space="preserve">See GLOBO’s AI interpreter study results on </w:t>
      </w:r>
      <w:hyperlink w:anchor="bookmark=id.6tsf0rev1upo">
        <w:r>
          <w:rPr>
            <w:rFonts w:ascii="Arial" w:eastAsia="Arial" w:hAnsi="Arial" w:cs="Arial"/>
            <w:color w:val="1155CC"/>
            <w:u w:val="single"/>
          </w:rPr>
          <w:t>pages 8-9</w:t>
        </w:r>
      </w:hyperlink>
      <w:r>
        <w:rPr>
          <w:rFonts w:ascii="Arial" w:eastAsia="Arial" w:hAnsi="Arial" w:cs="Arial"/>
        </w:rPr>
        <w:t>.</w:t>
      </w:r>
    </w:p>
    <w:p w:rsidR="0000578C" w:rsidRDefault="00510A19">
      <w:pPr>
        <w:rPr>
          <w:rFonts w:ascii="Arial" w:eastAsia="Arial" w:hAnsi="Arial" w:cs="Arial"/>
        </w:rPr>
      </w:pPr>
      <w:r>
        <w:rPr>
          <w:rFonts w:ascii="Arial" w:eastAsia="Arial" w:hAnsi="Arial" w:cs="Arial"/>
        </w:rPr>
        <w:t xml:space="preserve">Said Jennifer Winters, assistant vice president of Value Based Care at </w:t>
      </w:r>
      <w:hyperlink r:id="rId25">
        <w:r>
          <w:rPr>
            <w:rFonts w:ascii="Arial" w:eastAsia="Arial" w:hAnsi="Arial" w:cs="Arial"/>
            <w:color w:val="1155CC"/>
            <w:u w:val="single"/>
          </w:rPr>
          <w:t>Affinia Healthcare</w:t>
        </w:r>
      </w:hyperlink>
      <w:r>
        <w:rPr>
          <w:rFonts w:ascii="Arial" w:eastAsia="Arial" w:hAnsi="Arial" w:cs="Arial"/>
        </w:rPr>
        <w:t>, “We found that GLOBO KAI was really beneficial for our front desk staff, who were previously struggling to efficiently connect patients with interpreters. With KAI, we could direct patients through registration, pharmacy, and back to Convenient Care much faster.”</w:t>
      </w:r>
    </w:p>
    <w:p w:rsidR="0000578C" w:rsidRDefault="00510A19">
      <w:pPr>
        <w:pBdr>
          <w:top w:val="nil"/>
          <w:left w:val="nil"/>
          <w:bottom w:val="nil"/>
          <w:right w:val="nil"/>
          <w:between w:val="nil"/>
        </w:pBdr>
        <w:rPr>
          <w:rFonts w:ascii="Arial" w:eastAsia="Arial" w:hAnsi="Arial" w:cs="Arial"/>
          <w:highlight w:val="white"/>
        </w:rPr>
      </w:pPr>
      <w:r>
        <w:rPr>
          <w:rFonts w:ascii="Arial" w:eastAsia="Arial" w:hAnsi="Arial" w:cs="Arial"/>
        </w:rPr>
        <w:t xml:space="preserve">From an economic standpoint, AI interpretation also could help providers </w:t>
      </w:r>
      <w:r>
        <w:rPr>
          <w:rFonts w:ascii="Arial" w:eastAsia="Arial" w:hAnsi="Arial" w:cs="Arial"/>
          <w:highlight w:val="white"/>
        </w:rPr>
        <w:t xml:space="preserve">reduce costs by streamlining LEP patient interactions, reducing the need for additional in-person interpretation services in specific, low-risk interactions along the patient journey.  </w:t>
      </w:r>
    </w:p>
    <w:p w:rsidR="0000578C" w:rsidRDefault="00510A19">
      <w:pPr>
        <w:pBdr>
          <w:top w:val="nil"/>
          <w:left w:val="nil"/>
          <w:bottom w:val="nil"/>
          <w:right w:val="nil"/>
          <w:between w:val="nil"/>
        </w:pBdr>
        <w:rPr>
          <w:rFonts w:ascii="Arial" w:eastAsia="Arial" w:hAnsi="Arial" w:cs="Arial"/>
          <w:highlight w:val="yellow"/>
        </w:rPr>
      </w:pPr>
      <w:r>
        <w:rPr>
          <w:rFonts w:ascii="Arial" w:eastAsia="Arial" w:hAnsi="Arial" w:cs="Arial"/>
          <w:highlight w:val="white"/>
        </w:rPr>
        <w:t xml:space="preserve">Said GLOBO CEO Dipak Patel, “Reducing healthcare expenses is a national priority—especially for federally funded programs. New AI innovations like GLOBO KAI present a promising path forward to improve cost, efficiency, and sustainability, while vastly improving patient engagement and overall care.” </w:t>
      </w:r>
    </w:p>
    <w:p w:rsidR="0000578C" w:rsidRDefault="00510A19">
      <w:pPr>
        <w:pBdr>
          <w:top w:val="nil"/>
          <w:left w:val="nil"/>
          <w:bottom w:val="nil"/>
          <w:right w:val="nil"/>
          <w:between w:val="nil"/>
        </w:pBdr>
        <w:rPr>
          <w:rFonts w:ascii="Arial" w:eastAsia="Arial" w:hAnsi="Arial" w:cs="Arial"/>
          <w:b/>
          <w:sz w:val="32"/>
          <w:szCs w:val="32"/>
        </w:rPr>
      </w:pPr>
      <w:r>
        <w:rPr>
          <w:rFonts w:ascii="Arial" w:eastAsia="Arial" w:hAnsi="Arial" w:cs="Arial"/>
          <w:b/>
          <w:sz w:val="32"/>
          <w:szCs w:val="32"/>
        </w:rPr>
        <w:lastRenderedPageBreak/>
        <w:t>Physician Cites Real-World Benefits of AI Interpreting App</w:t>
      </w:r>
    </w:p>
    <w:p w:rsidR="0000578C" w:rsidRDefault="00510A19">
      <w:pPr>
        <w:pBdr>
          <w:top w:val="nil"/>
          <w:left w:val="nil"/>
          <w:bottom w:val="nil"/>
          <w:right w:val="nil"/>
          <w:between w:val="nil"/>
        </w:pBdr>
        <w:rPr>
          <w:rFonts w:ascii="Arial" w:eastAsia="Arial" w:hAnsi="Arial" w:cs="Arial"/>
          <w:b/>
          <w:highlight w:val="white"/>
        </w:rPr>
      </w:pPr>
      <w:r>
        <w:rPr>
          <w:rFonts w:ascii="Arial" w:eastAsia="Arial" w:hAnsi="Arial" w:cs="Arial"/>
          <w:b/>
          <w:noProof/>
          <w:highlight w:val="white"/>
          <w:lang w:val="en-US"/>
        </w:rPr>
        <w:drawing>
          <wp:inline distT="114300" distB="114300" distL="114300" distR="114300">
            <wp:extent cx="5943600" cy="3136900"/>
            <wp:effectExtent l="0" t="0" r="0" b="0"/>
            <wp:docPr id="164887133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6"/>
                    <a:srcRect/>
                    <a:stretch>
                      <a:fillRect/>
                    </a:stretch>
                  </pic:blipFill>
                  <pic:spPr>
                    <a:xfrm>
                      <a:off x="0" y="0"/>
                      <a:ext cx="5943600" cy="3136900"/>
                    </a:xfrm>
                    <a:prstGeom prst="rect">
                      <a:avLst/>
                    </a:prstGeom>
                    <a:ln/>
                  </pic:spPr>
                </pic:pic>
              </a:graphicData>
            </a:graphic>
          </wp:inline>
        </w:drawing>
      </w:r>
    </w:p>
    <w:p w:rsidR="0000578C" w:rsidRDefault="00510A19">
      <w:pPr>
        <w:pBdr>
          <w:top w:val="nil"/>
          <w:left w:val="nil"/>
          <w:bottom w:val="nil"/>
          <w:right w:val="nil"/>
          <w:between w:val="nil"/>
        </w:pBdr>
        <w:rPr>
          <w:rFonts w:ascii="Arial" w:eastAsia="Arial" w:hAnsi="Arial" w:cs="Arial"/>
          <w:highlight w:val="white"/>
        </w:rPr>
      </w:pPr>
      <w:r>
        <w:rPr>
          <w:rFonts w:ascii="Arial" w:eastAsia="Arial" w:hAnsi="Arial" w:cs="Arial"/>
          <w:highlight w:val="white"/>
        </w:rPr>
        <w:t xml:space="preserve">Access to a healthcare-optimized AI interpreter is a dream come true for David A. Miller, M.D., clinical director of Affinia Convenience Care and an assistant medical director of </w:t>
      </w:r>
      <w:hyperlink r:id="rId27">
        <w:r>
          <w:rPr>
            <w:rFonts w:ascii="Arial" w:eastAsia="Arial" w:hAnsi="Arial" w:cs="Arial"/>
            <w:color w:val="1155CC"/>
            <w:highlight w:val="white"/>
            <w:u w:val="single"/>
          </w:rPr>
          <w:t>Affinia Healthcare</w:t>
        </w:r>
      </w:hyperlink>
      <w:r>
        <w:rPr>
          <w:rFonts w:ascii="Arial" w:eastAsia="Arial" w:hAnsi="Arial" w:cs="Arial"/>
          <w:highlight w:val="white"/>
        </w:rPr>
        <w:t xml:space="preserve">, a Community Health Center in St. Louis, Mo. Operating on a walk-in basis, the clinic serves a significant population of non-native, limited-English-speaking patients with languages including Spanish, Arabic, Swahili, Haitian Creole, and more. </w:t>
      </w:r>
    </w:p>
    <w:p w:rsidR="0000578C" w:rsidRDefault="00510A19">
      <w:pPr>
        <w:pBdr>
          <w:top w:val="nil"/>
          <w:left w:val="nil"/>
          <w:bottom w:val="nil"/>
          <w:right w:val="nil"/>
          <w:between w:val="nil"/>
        </w:pBdr>
        <w:rPr>
          <w:rFonts w:ascii="Arial" w:eastAsia="Arial" w:hAnsi="Arial" w:cs="Arial"/>
          <w:highlight w:val="white"/>
        </w:rPr>
      </w:pPr>
      <w:r>
        <w:rPr>
          <w:rFonts w:ascii="Arial" w:eastAsia="Arial" w:hAnsi="Arial" w:cs="Arial"/>
          <w:highlight w:val="white"/>
        </w:rPr>
        <w:t>“I’ve had a chance to use multiple versions of the new GLOBO KAI AI interpreter during pilot testing, and I found it very helpful,” he explained. “We don’t take appointments, so we are not able to arrange for interpreters to be present beforehand. We never know who’s coming into urgent care, nor do we ever know which languages we might need for a particular day.”</w:t>
      </w:r>
    </w:p>
    <w:p w:rsidR="0000578C" w:rsidRDefault="00510A19">
      <w:pPr>
        <w:pBdr>
          <w:top w:val="nil"/>
          <w:left w:val="nil"/>
          <w:bottom w:val="nil"/>
          <w:right w:val="nil"/>
          <w:between w:val="nil"/>
        </w:pBdr>
        <w:rPr>
          <w:rFonts w:ascii="Arial" w:eastAsia="Arial" w:hAnsi="Arial" w:cs="Arial"/>
          <w:highlight w:val="white"/>
        </w:rPr>
      </w:pPr>
      <w:r>
        <w:rPr>
          <w:rFonts w:ascii="Arial" w:eastAsia="Arial" w:hAnsi="Arial" w:cs="Arial"/>
          <w:highlight w:val="white"/>
        </w:rPr>
        <w:t>Adding to the challenge, Dr. Miller noted that “patients often leave the room for tests, requiring the interpreter to restart a session upon their return, which can be inconvenient.”</w:t>
      </w:r>
    </w:p>
    <w:p w:rsidR="0000578C" w:rsidRDefault="00510A19">
      <w:pPr>
        <w:pBdr>
          <w:top w:val="nil"/>
          <w:left w:val="nil"/>
          <w:bottom w:val="nil"/>
          <w:right w:val="nil"/>
          <w:between w:val="nil"/>
        </w:pBdr>
        <w:rPr>
          <w:rFonts w:ascii="Arial" w:eastAsia="Arial" w:hAnsi="Arial" w:cs="Arial"/>
          <w:highlight w:val="white"/>
        </w:rPr>
      </w:pPr>
      <w:r>
        <w:rPr>
          <w:rFonts w:ascii="Arial" w:eastAsia="Arial" w:hAnsi="Arial" w:cs="Arial"/>
          <w:highlight w:val="white"/>
        </w:rPr>
        <w:t xml:space="preserve">Along with streamlining the interpreting process, Dr. Miller explained that having an on-demand AI interpreting tool also improves patient-provider communications, which he emphasized is integral to delivering quality care. </w:t>
      </w:r>
    </w:p>
    <w:p w:rsidR="0000578C" w:rsidRDefault="00510A19">
      <w:pPr>
        <w:pBdr>
          <w:top w:val="nil"/>
          <w:left w:val="nil"/>
          <w:bottom w:val="nil"/>
          <w:right w:val="nil"/>
          <w:between w:val="nil"/>
        </w:pBdr>
        <w:rPr>
          <w:rFonts w:ascii="Arial" w:eastAsia="Arial" w:hAnsi="Arial" w:cs="Arial"/>
          <w:highlight w:val="white"/>
        </w:rPr>
      </w:pPr>
      <w:r>
        <w:rPr>
          <w:rFonts w:ascii="Arial" w:eastAsia="Arial" w:hAnsi="Arial" w:cs="Arial"/>
          <w:highlight w:val="white"/>
        </w:rPr>
        <w:t xml:space="preserve">“Effective communication is very important in medicine. If we’re not talking about the same thing, it’s difficult to help the patient. Having an AI interpreter at my fingertips gives me the ability to know what the patient is saying so I can get to the right </w:t>
      </w:r>
      <w:r>
        <w:rPr>
          <w:rFonts w:ascii="Arial" w:eastAsia="Arial" w:hAnsi="Arial" w:cs="Arial"/>
          <w:highlight w:val="white"/>
        </w:rPr>
        <w:lastRenderedPageBreak/>
        <w:t>diagnosis,” he said, adding, “I would say, ‘effective communication is paramount to effective healthcare.’”</w:t>
      </w:r>
    </w:p>
    <w:p w:rsidR="0000578C" w:rsidRDefault="00510A19">
      <w:pPr>
        <w:pBdr>
          <w:top w:val="nil"/>
          <w:left w:val="nil"/>
          <w:bottom w:val="nil"/>
          <w:right w:val="nil"/>
          <w:between w:val="nil"/>
        </w:pBdr>
        <w:rPr>
          <w:rFonts w:ascii="Arial" w:eastAsia="Arial" w:hAnsi="Arial" w:cs="Arial"/>
          <w:highlight w:val="white"/>
        </w:rPr>
      </w:pPr>
      <w:r>
        <w:rPr>
          <w:rFonts w:ascii="Arial" w:eastAsia="Arial" w:hAnsi="Arial" w:cs="Arial"/>
          <w:highlight w:val="white"/>
        </w:rPr>
        <w:t>As for on-demand accessibility, Dr. Miller likes the hands-free nature of the solution. “I can start it and let it run while I am talking to and examining the patient. That’s a great feature,” he said.</w:t>
      </w:r>
    </w:p>
    <w:p w:rsidR="0000578C" w:rsidRDefault="0000578C">
      <w:pPr>
        <w:pBdr>
          <w:top w:val="nil"/>
          <w:left w:val="nil"/>
          <w:bottom w:val="nil"/>
          <w:right w:val="nil"/>
          <w:between w:val="nil"/>
        </w:pBdr>
        <w:rPr>
          <w:rFonts w:ascii="Arial" w:eastAsia="Arial" w:hAnsi="Arial" w:cs="Arial"/>
          <w:highlight w:val="white"/>
        </w:rPr>
      </w:pPr>
    </w:p>
    <w:p w:rsidR="0000578C" w:rsidRDefault="0000578C">
      <w:pPr>
        <w:pBdr>
          <w:top w:val="nil"/>
          <w:left w:val="nil"/>
          <w:bottom w:val="nil"/>
          <w:right w:val="nil"/>
          <w:between w:val="nil"/>
        </w:pBdr>
        <w:rPr>
          <w:rFonts w:ascii="Arial" w:eastAsia="Arial" w:hAnsi="Arial" w:cs="Arial"/>
          <w:highlight w:val="white"/>
        </w:rPr>
      </w:pPr>
    </w:p>
    <w:p w:rsidR="0000578C" w:rsidRDefault="0000578C">
      <w:pPr>
        <w:pBdr>
          <w:top w:val="nil"/>
          <w:left w:val="nil"/>
          <w:bottom w:val="nil"/>
          <w:right w:val="nil"/>
          <w:between w:val="nil"/>
        </w:pBdr>
        <w:rPr>
          <w:rFonts w:ascii="Arial" w:eastAsia="Arial" w:hAnsi="Arial" w:cs="Arial"/>
          <w:highlight w:val="white"/>
        </w:rPr>
      </w:pPr>
    </w:p>
    <w:p w:rsidR="0000578C" w:rsidRDefault="0000578C">
      <w:pPr>
        <w:pBdr>
          <w:top w:val="nil"/>
          <w:left w:val="nil"/>
          <w:bottom w:val="nil"/>
          <w:right w:val="nil"/>
          <w:between w:val="nil"/>
        </w:pBdr>
        <w:rPr>
          <w:rFonts w:ascii="Arial" w:eastAsia="Arial" w:hAnsi="Arial" w:cs="Arial"/>
          <w:highlight w:val="white"/>
        </w:rPr>
      </w:pPr>
    </w:p>
    <w:p w:rsidR="0000578C" w:rsidRDefault="0000578C">
      <w:pPr>
        <w:pBdr>
          <w:top w:val="nil"/>
          <w:left w:val="nil"/>
          <w:bottom w:val="nil"/>
          <w:right w:val="nil"/>
          <w:between w:val="nil"/>
        </w:pBdr>
        <w:rPr>
          <w:rFonts w:ascii="Arial" w:eastAsia="Arial" w:hAnsi="Arial" w:cs="Arial"/>
          <w:highlight w:val="white"/>
        </w:rPr>
      </w:pPr>
    </w:p>
    <w:p w:rsidR="0000578C" w:rsidRDefault="0000578C">
      <w:pPr>
        <w:pBdr>
          <w:top w:val="nil"/>
          <w:left w:val="nil"/>
          <w:bottom w:val="nil"/>
          <w:right w:val="nil"/>
          <w:between w:val="nil"/>
        </w:pBdr>
        <w:rPr>
          <w:rFonts w:ascii="Arial" w:eastAsia="Arial" w:hAnsi="Arial" w:cs="Arial"/>
          <w:highlight w:val="white"/>
        </w:rPr>
      </w:pPr>
    </w:p>
    <w:p w:rsidR="0000578C" w:rsidRDefault="0000578C">
      <w:pPr>
        <w:pBdr>
          <w:top w:val="nil"/>
          <w:left w:val="nil"/>
          <w:bottom w:val="nil"/>
          <w:right w:val="nil"/>
          <w:between w:val="nil"/>
        </w:pBdr>
        <w:rPr>
          <w:rFonts w:ascii="Arial" w:eastAsia="Arial" w:hAnsi="Arial" w:cs="Arial"/>
          <w:highlight w:val="white"/>
        </w:rPr>
      </w:pPr>
    </w:p>
    <w:p w:rsidR="0000578C" w:rsidRDefault="0000578C">
      <w:pPr>
        <w:pBdr>
          <w:top w:val="nil"/>
          <w:left w:val="nil"/>
          <w:bottom w:val="nil"/>
          <w:right w:val="nil"/>
          <w:between w:val="nil"/>
        </w:pBdr>
        <w:rPr>
          <w:rFonts w:ascii="Arial" w:eastAsia="Arial" w:hAnsi="Arial" w:cs="Arial"/>
          <w:highlight w:val="white"/>
        </w:rPr>
      </w:pPr>
    </w:p>
    <w:p w:rsidR="0000578C" w:rsidRDefault="0000578C">
      <w:pPr>
        <w:pBdr>
          <w:top w:val="nil"/>
          <w:left w:val="nil"/>
          <w:bottom w:val="nil"/>
          <w:right w:val="nil"/>
          <w:between w:val="nil"/>
        </w:pBdr>
        <w:rPr>
          <w:rFonts w:ascii="Arial" w:eastAsia="Arial" w:hAnsi="Arial" w:cs="Arial"/>
          <w:highlight w:val="white"/>
        </w:rPr>
      </w:pPr>
    </w:p>
    <w:p w:rsidR="0000578C" w:rsidRDefault="0000578C">
      <w:pPr>
        <w:pBdr>
          <w:top w:val="nil"/>
          <w:left w:val="nil"/>
          <w:bottom w:val="nil"/>
          <w:right w:val="nil"/>
          <w:between w:val="nil"/>
        </w:pBdr>
        <w:rPr>
          <w:rFonts w:ascii="Arial" w:eastAsia="Arial" w:hAnsi="Arial" w:cs="Arial"/>
          <w:highlight w:val="white"/>
        </w:rPr>
      </w:pPr>
    </w:p>
    <w:p w:rsidR="0000578C" w:rsidRDefault="0000578C">
      <w:pPr>
        <w:pBdr>
          <w:top w:val="nil"/>
          <w:left w:val="nil"/>
          <w:bottom w:val="nil"/>
          <w:right w:val="nil"/>
          <w:between w:val="nil"/>
        </w:pBdr>
        <w:rPr>
          <w:rFonts w:ascii="Arial" w:eastAsia="Arial" w:hAnsi="Arial" w:cs="Arial"/>
          <w:highlight w:val="white"/>
        </w:rPr>
      </w:pPr>
    </w:p>
    <w:p w:rsidR="0000578C" w:rsidRDefault="0000578C">
      <w:pPr>
        <w:pBdr>
          <w:top w:val="nil"/>
          <w:left w:val="nil"/>
          <w:bottom w:val="nil"/>
          <w:right w:val="nil"/>
          <w:between w:val="nil"/>
        </w:pBdr>
        <w:rPr>
          <w:rFonts w:ascii="Arial" w:eastAsia="Arial" w:hAnsi="Arial" w:cs="Arial"/>
          <w:highlight w:val="white"/>
        </w:rPr>
      </w:pPr>
    </w:p>
    <w:p w:rsidR="0000578C" w:rsidRDefault="0000578C">
      <w:pPr>
        <w:pBdr>
          <w:top w:val="nil"/>
          <w:left w:val="nil"/>
          <w:bottom w:val="nil"/>
          <w:right w:val="nil"/>
          <w:between w:val="nil"/>
        </w:pBdr>
        <w:rPr>
          <w:rFonts w:ascii="Arial" w:eastAsia="Arial" w:hAnsi="Arial" w:cs="Arial"/>
          <w:highlight w:val="white"/>
        </w:rPr>
      </w:pPr>
    </w:p>
    <w:p w:rsidR="0000578C" w:rsidRDefault="0000578C">
      <w:pPr>
        <w:pBdr>
          <w:top w:val="nil"/>
          <w:left w:val="nil"/>
          <w:bottom w:val="nil"/>
          <w:right w:val="nil"/>
          <w:between w:val="nil"/>
        </w:pBdr>
        <w:rPr>
          <w:rFonts w:ascii="Arial" w:eastAsia="Arial" w:hAnsi="Arial" w:cs="Arial"/>
          <w:highlight w:val="white"/>
        </w:rPr>
      </w:pPr>
    </w:p>
    <w:p w:rsidR="0000578C" w:rsidRDefault="0000578C">
      <w:pPr>
        <w:pBdr>
          <w:top w:val="nil"/>
          <w:left w:val="nil"/>
          <w:bottom w:val="nil"/>
          <w:right w:val="nil"/>
          <w:between w:val="nil"/>
        </w:pBdr>
        <w:rPr>
          <w:rFonts w:ascii="Arial" w:eastAsia="Arial" w:hAnsi="Arial" w:cs="Arial"/>
          <w:highlight w:val="white"/>
        </w:rPr>
      </w:pPr>
    </w:p>
    <w:p w:rsidR="0000578C" w:rsidRDefault="0000578C">
      <w:pPr>
        <w:pBdr>
          <w:top w:val="nil"/>
          <w:left w:val="nil"/>
          <w:bottom w:val="nil"/>
          <w:right w:val="nil"/>
          <w:between w:val="nil"/>
        </w:pBdr>
        <w:rPr>
          <w:rFonts w:ascii="Arial" w:eastAsia="Arial" w:hAnsi="Arial" w:cs="Arial"/>
          <w:highlight w:val="white"/>
        </w:rPr>
      </w:pPr>
    </w:p>
    <w:p w:rsidR="0000578C" w:rsidRDefault="0000578C">
      <w:pPr>
        <w:pBdr>
          <w:top w:val="nil"/>
          <w:left w:val="nil"/>
          <w:bottom w:val="nil"/>
          <w:right w:val="nil"/>
          <w:between w:val="nil"/>
        </w:pBdr>
        <w:rPr>
          <w:rFonts w:ascii="Arial" w:eastAsia="Arial" w:hAnsi="Arial" w:cs="Arial"/>
          <w:highlight w:val="white"/>
        </w:rPr>
      </w:pPr>
    </w:p>
    <w:p w:rsidR="0000578C" w:rsidRDefault="0000578C">
      <w:pPr>
        <w:pBdr>
          <w:top w:val="nil"/>
          <w:left w:val="nil"/>
          <w:bottom w:val="nil"/>
          <w:right w:val="nil"/>
          <w:between w:val="nil"/>
        </w:pBdr>
        <w:rPr>
          <w:rFonts w:ascii="Arial" w:eastAsia="Arial" w:hAnsi="Arial" w:cs="Arial"/>
          <w:highlight w:val="white"/>
        </w:rPr>
      </w:pPr>
    </w:p>
    <w:p w:rsidR="0000578C" w:rsidRDefault="0000578C">
      <w:pPr>
        <w:pBdr>
          <w:top w:val="nil"/>
          <w:left w:val="nil"/>
          <w:bottom w:val="nil"/>
          <w:right w:val="nil"/>
          <w:between w:val="nil"/>
        </w:pBdr>
        <w:rPr>
          <w:rFonts w:ascii="Arial" w:eastAsia="Arial" w:hAnsi="Arial" w:cs="Arial"/>
          <w:highlight w:val="white"/>
        </w:rPr>
      </w:pPr>
    </w:p>
    <w:p w:rsidR="0000578C" w:rsidRDefault="0000578C">
      <w:pPr>
        <w:pBdr>
          <w:top w:val="nil"/>
          <w:left w:val="nil"/>
          <w:bottom w:val="nil"/>
          <w:right w:val="nil"/>
          <w:between w:val="nil"/>
        </w:pBdr>
        <w:rPr>
          <w:rFonts w:ascii="Arial" w:eastAsia="Arial" w:hAnsi="Arial" w:cs="Arial"/>
          <w:highlight w:val="white"/>
        </w:rPr>
      </w:pPr>
    </w:p>
    <w:p w:rsidR="0000578C" w:rsidRDefault="0000578C">
      <w:pPr>
        <w:pBdr>
          <w:top w:val="nil"/>
          <w:left w:val="nil"/>
          <w:bottom w:val="nil"/>
          <w:right w:val="nil"/>
          <w:between w:val="nil"/>
        </w:pBdr>
        <w:rPr>
          <w:rFonts w:ascii="Arial" w:eastAsia="Arial" w:hAnsi="Arial" w:cs="Arial"/>
          <w:highlight w:val="white"/>
        </w:rPr>
      </w:pPr>
    </w:p>
    <w:p w:rsidR="0000578C" w:rsidRDefault="0000578C">
      <w:pPr>
        <w:pBdr>
          <w:top w:val="nil"/>
          <w:left w:val="nil"/>
          <w:bottom w:val="nil"/>
          <w:right w:val="nil"/>
          <w:between w:val="nil"/>
        </w:pBdr>
        <w:rPr>
          <w:rFonts w:ascii="Arial" w:eastAsia="Arial" w:hAnsi="Arial" w:cs="Arial"/>
          <w:highlight w:val="white"/>
        </w:rPr>
      </w:pPr>
    </w:p>
    <w:p w:rsidR="0000578C" w:rsidRDefault="0000578C">
      <w:pPr>
        <w:pBdr>
          <w:top w:val="nil"/>
          <w:left w:val="nil"/>
          <w:bottom w:val="nil"/>
          <w:right w:val="nil"/>
          <w:between w:val="nil"/>
        </w:pBdr>
        <w:rPr>
          <w:rFonts w:ascii="Arial" w:eastAsia="Arial" w:hAnsi="Arial" w:cs="Arial"/>
          <w:highlight w:val="white"/>
        </w:rPr>
      </w:pPr>
    </w:p>
    <w:p w:rsidR="0000578C" w:rsidRDefault="00510A19">
      <w:pPr>
        <w:pBdr>
          <w:top w:val="nil"/>
          <w:left w:val="nil"/>
          <w:bottom w:val="nil"/>
          <w:right w:val="nil"/>
          <w:between w:val="nil"/>
        </w:pBdr>
        <w:rPr>
          <w:rFonts w:ascii="Arial" w:eastAsia="Arial" w:hAnsi="Arial" w:cs="Arial"/>
          <w:b/>
          <w:sz w:val="36"/>
          <w:szCs w:val="36"/>
          <w:highlight w:val="white"/>
        </w:rPr>
      </w:pPr>
      <w:bookmarkStart w:id="2" w:name="bookmark=id.6tsf0rev1upo" w:colFirst="0" w:colLast="0"/>
      <w:bookmarkEnd w:id="2"/>
      <w:r>
        <w:rPr>
          <w:rFonts w:ascii="Arial" w:eastAsia="Arial" w:hAnsi="Arial" w:cs="Arial"/>
          <w:b/>
          <w:sz w:val="36"/>
          <w:szCs w:val="36"/>
          <w:highlight w:val="white"/>
        </w:rPr>
        <w:lastRenderedPageBreak/>
        <w:t>Pilot Testing for AI Interpreter Demonstrates Positive Results</w:t>
      </w:r>
    </w:p>
    <w:p w:rsidR="0000578C" w:rsidRDefault="00510A19">
      <w:pPr>
        <w:pBdr>
          <w:top w:val="nil"/>
          <w:left w:val="nil"/>
          <w:bottom w:val="nil"/>
          <w:right w:val="nil"/>
          <w:between w:val="nil"/>
        </w:pBdr>
        <w:rPr>
          <w:rFonts w:ascii="Arial" w:eastAsia="Arial" w:hAnsi="Arial" w:cs="Arial"/>
          <w:highlight w:val="white"/>
        </w:rPr>
      </w:pPr>
      <w:r>
        <w:rPr>
          <w:rFonts w:ascii="Arial" w:eastAsia="Arial" w:hAnsi="Arial" w:cs="Arial"/>
          <w:highlight w:val="white"/>
        </w:rPr>
        <w:t xml:space="preserve">In early 2025, GLOBO </w:t>
      </w:r>
      <w:hyperlink r:id="rId28">
        <w:r>
          <w:rPr>
            <w:rFonts w:ascii="Arial" w:eastAsia="Arial" w:hAnsi="Arial" w:cs="Arial"/>
            <w:color w:val="1155CC"/>
            <w:highlight w:val="white"/>
            <w:u w:val="single"/>
          </w:rPr>
          <w:t>collaborated with multiple providers</w:t>
        </w:r>
      </w:hyperlink>
      <w:r>
        <w:rPr>
          <w:rFonts w:ascii="Arial" w:eastAsia="Arial" w:hAnsi="Arial" w:cs="Arial"/>
          <w:highlight w:val="white"/>
          <w:vertAlign w:val="superscript"/>
        </w:rPr>
        <w:t>13</w:t>
      </w:r>
      <w:r>
        <w:rPr>
          <w:rFonts w:ascii="Arial" w:eastAsia="Arial" w:hAnsi="Arial" w:cs="Arial"/>
          <w:highlight w:val="white"/>
        </w:rPr>
        <w:t xml:space="preserve"> to test AI interpreting with Spanish-speaking patients using its healthcare-optimized technology, GLOBO KAI™. Along with pilot testing at </w:t>
      </w:r>
      <w:hyperlink r:id="rId29">
        <w:r>
          <w:rPr>
            <w:rFonts w:ascii="Arial" w:eastAsia="Arial" w:hAnsi="Arial" w:cs="Arial"/>
            <w:color w:val="1155CC"/>
            <w:highlight w:val="white"/>
            <w:u w:val="single"/>
          </w:rPr>
          <w:t>Affinia Healthcare</w:t>
        </w:r>
      </w:hyperlink>
      <w:r>
        <w:rPr>
          <w:rFonts w:ascii="Arial" w:eastAsia="Arial" w:hAnsi="Arial" w:cs="Arial"/>
          <w:highlight w:val="white"/>
        </w:rPr>
        <w:t xml:space="preserve">, a primary and preventive health services clinic in Missouri, other participants included a large, not-for-profit healthcare system with 16 hospitals, multiple clinics, and other healthcare facilities, and a women’s specialty hospital. </w:t>
      </w:r>
    </w:p>
    <w:p w:rsidR="0000578C" w:rsidRDefault="00510A19">
      <w:pPr>
        <w:pBdr>
          <w:top w:val="nil"/>
          <w:left w:val="nil"/>
          <w:bottom w:val="nil"/>
          <w:right w:val="nil"/>
          <w:between w:val="nil"/>
        </w:pBdr>
        <w:rPr>
          <w:rFonts w:ascii="Arial" w:eastAsia="Arial" w:hAnsi="Arial" w:cs="Arial"/>
          <w:highlight w:val="white"/>
        </w:rPr>
      </w:pPr>
      <w:r>
        <w:rPr>
          <w:rFonts w:ascii="Arial" w:eastAsia="Arial" w:hAnsi="Arial" w:cs="Arial"/>
          <w:highlight w:val="white"/>
        </w:rPr>
        <w:t>The purpose of the pilot was to test the effectiveness of an AI interpreter for providers and patients in scenarios across the patient journey where an interpreter is typically underutilized. Clinicians performed a series of calls with limited English proficiency (LEP) patients to evaluate accuracy, receptivity, and improved clinician and patient satisfaction.</w:t>
      </w:r>
    </w:p>
    <w:p w:rsidR="0000578C" w:rsidRDefault="00510A19">
      <w:pPr>
        <w:pBdr>
          <w:top w:val="nil"/>
          <w:left w:val="nil"/>
          <w:bottom w:val="nil"/>
          <w:right w:val="nil"/>
          <w:between w:val="nil"/>
        </w:pBdr>
        <w:rPr>
          <w:rFonts w:ascii="Arial" w:eastAsia="Arial" w:hAnsi="Arial" w:cs="Arial"/>
          <w:b/>
          <w:highlight w:val="white"/>
        </w:rPr>
      </w:pPr>
      <w:r>
        <w:rPr>
          <w:rFonts w:ascii="Arial" w:eastAsia="Arial" w:hAnsi="Arial" w:cs="Arial"/>
          <w:b/>
          <w:highlight w:val="white"/>
        </w:rPr>
        <w:t>Methodology</w:t>
      </w:r>
    </w:p>
    <w:p w:rsidR="0000578C" w:rsidRDefault="00510A19">
      <w:pPr>
        <w:pBdr>
          <w:top w:val="nil"/>
          <w:left w:val="nil"/>
          <w:bottom w:val="nil"/>
          <w:right w:val="nil"/>
          <w:between w:val="nil"/>
        </w:pBdr>
        <w:rPr>
          <w:rFonts w:ascii="Arial" w:eastAsia="Arial" w:hAnsi="Arial" w:cs="Arial"/>
          <w:highlight w:val="white"/>
        </w:rPr>
      </w:pPr>
      <w:r>
        <w:rPr>
          <w:rFonts w:ascii="Arial" w:eastAsia="Arial" w:hAnsi="Arial" w:cs="Arial"/>
          <w:highlight w:val="white"/>
        </w:rPr>
        <w:t xml:space="preserve">Clinicians were provided with a mobile device to access the proprietary AI interpreting app and asked to conduct non-clinical interactions to facilitate communication with LEP patients (as opposed to live or video interpreting options). To ensure interpreting continuity, all interactions were supervised by a professional medical interpreter. The calls were then evaluated to verify the LEP patient’s understanding and the overall quality of the interpreting experience. </w:t>
      </w:r>
    </w:p>
    <w:p w:rsidR="0000578C" w:rsidRDefault="00510A19">
      <w:pPr>
        <w:pBdr>
          <w:top w:val="nil"/>
          <w:left w:val="nil"/>
          <w:bottom w:val="nil"/>
          <w:right w:val="nil"/>
          <w:between w:val="nil"/>
        </w:pBdr>
        <w:rPr>
          <w:rFonts w:ascii="Arial" w:eastAsia="Arial" w:hAnsi="Arial" w:cs="Arial"/>
          <w:b/>
          <w:highlight w:val="white"/>
        </w:rPr>
      </w:pPr>
      <w:r>
        <w:rPr>
          <w:rFonts w:ascii="Arial" w:eastAsia="Arial" w:hAnsi="Arial" w:cs="Arial"/>
          <w:b/>
          <w:highlight w:val="white"/>
        </w:rPr>
        <w:t>Results</w:t>
      </w:r>
    </w:p>
    <w:p w:rsidR="0000578C" w:rsidRDefault="00510A19">
      <w:pPr>
        <w:pBdr>
          <w:top w:val="nil"/>
          <w:left w:val="nil"/>
          <w:bottom w:val="nil"/>
          <w:right w:val="nil"/>
          <w:between w:val="nil"/>
        </w:pBdr>
        <w:rPr>
          <w:rFonts w:ascii="Arial" w:eastAsia="Arial" w:hAnsi="Arial" w:cs="Arial"/>
          <w:highlight w:val="white"/>
        </w:rPr>
      </w:pPr>
      <w:r>
        <w:rPr>
          <w:rFonts w:ascii="Arial" w:eastAsia="Arial" w:hAnsi="Arial" w:cs="Arial"/>
          <w:highlight w:val="white"/>
        </w:rPr>
        <w:t>From January 1 to April 1, 2025, the pilot resulted in:</w:t>
      </w:r>
    </w:p>
    <w:p w:rsidR="0000578C" w:rsidRDefault="00510A19" w:rsidP="00CF7372">
      <w:pPr>
        <w:numPr>
          <w:ilvl w:val="0"/>
          <w:numId w:val="5"/>
        </w:numPr>
        <w:pBdr>
          <w:top w:val="nil"/>
          <w:left w:val="nil"/>
          <w:bottom w:val="nil"/>
          <w:right w:val="nil"/>
          <w:between w:val="nil"/>
        </w:pBdr>
        <w:spacing w:after="0"/>
        <w:rPr>
          <w:rFonts w:ascii="Arial" w:eastAsia="Arial" w:hAnsi="Arial" w:cs="Arial"/>
          <w:color w:val="000000"/>
          <w:highlight w:val="white"/>
        </w:rPr>
      </w:pPr>
      <w:r>
        <w:rPr>
          <w:rFonts w:ascii="Arial" w:eastAsia="Arial" w:hAnsi="Arial" w:cs="Arial"/>
          <w:color w:val="000000"/>
          <w:highlight w:val="white"/>
        </w:rPr>
        <w:t>7</w:t>
      </w:r>
      <w:r>
        <w:rPr>
          <w:rFonts w:ascii="Arial" w:eastAsia="Arial" w:hAnsi="Arial" w:cs="Arial"/>
          <w:highlight w:val="white"/>
        </w:rPr>
        <w:t>4</w:t>
      </w:r>
      <w:r>
        <w:rPr>
          <w:rFonts w:ascii="Arial" w:eastAsia="Arial" w:hAnsi="Arial" w:cs="Arial"/>
          <w:color w:val="000000"/>
          <w:highlight w:val="white"/>
        </w:rPr>
        <w:t xml:space="preserve"> patient interactions</w:t>
      </w:r>
    </w:p>
    <w:p w:rsidR="0000578C" w:rsidRDefault="00510A19" w:rsidP="00CF7372">
      <w:pPr>
        <w:numPr>
          <w:ilvl w:val="0"/>
          <w:numId w:val="5"/>
        </w:numPr>
        <w:pBdr>
          <w:top w:val="nil"/>
          <w:left w:val="nil"/>
          <w:bottom w:val="nil"/>
          <w:right w:val="nil"/>
          <w:between w:val="nil"/>
        </w:pBdr>
        <w:spacing w:after="0"/>
        <w:rPr>
          <w:rFonts w:ascii="Arial" w:eastAsia="Arial" w:hAnsi="Arial" w:cs="Arial"/>
          <w:color w:val="000000"/>
          <w:highlight w:val="white"/>
        </w:rPr>
      </w:pPr>
      <w:r>
        <w:rPr>
          <w:rFonts w:ascii="Arial" w:eastAsia="Arial" w:hAnsi="Arial" w:cs="Arial"/>
          <w:color w:val="000000"/>
          <w:highlight w:val="white"/>
        </w:rPr>
        <w:t xml:space="preserve">1,138 utterances </w:t>
      </w:r>
    </w:p>
    <w:p w:rsidR="0000578C" w:rsidRDefault="00510A19" w:rsidP="00CF7372">
      <w:pPr>
        <w:numPr>
          <w:ilvl w:val="0"/>
          <w:numId w:val="5"/>
        </w:numPr>
        <w:pBdr>
          <w:top w:val="nil"/>
          <w:left w:val="nil"/>
          <w:bottom w:val="nil"/>
          <w:right w:val="nil"/>
          <w:between w:val="nil"/>
        </w:pBdr>
        <w:rPr>
          <w:rFonts w:ascii="Arial" w:eastAsia="Arial" w:hAnsi="Arial" w:cs="Arial"/>
          <w:color w:val="000000"/>
          <w:highlight w:val="white"/>
        </w:rPr>
      </w:pPr>
      <w:r>
        <w:rPr>
          <w:rFonts w:ascii="Arial" w:eastAsia="Arial" w:hAnsi="Arial" w:cs="Arial"/>
          <w:color w:val="000000"/>
          <w:highlight w:val="white"/>
        </w:rPr>
        <w:t>~8.5 hours of service</w:t>
      </w:r>
    </w:p>
    <w:p w:rsidR="0000578C" w:rsidRDefault="00510A19">
      <w:pPr>
        <w:pBdr>
          <w:top w:val="nil"/>
          <w:left w:val="nil"/>
          <w:bottom w:val="nil"/>
          <w:right w:val="nil"/>
          <w:between w:val="nil"/>
        </w:pBdr>
        <w:rPr>
          <w:rFonts w:ascii="Arial" w:eastAsia="Arial" w:hAnsi="Arial" w:cs="Arial"/>
          <w:highlight w:val="white"/>
        </w:rPr>
      </w:pPr>
      <w:r>
        <w:rPr>
          <w:rFonts w:ascii="Arial" w:eastAsia="Arial" w:hAnsi="Arial" w:cs="Arial"/>
          <w:highlight w:val="white"/>
        </w:rPr>
        <w:t>While KAI performed well in almost half of the non-clinical interactions, approximately 10% of interactions required revisions, and a live interpreter interjected in less than half of the conversations. Success was highest when there was low background noise and effective conversation management. Acceptability by use case was highest when capturing patient history and other administrative information.</w:t>
      </w:r>
    </w:p>
    <w:p w:rsidR="0000578C" w:rsidRDefault="00510A19">
      <w:pPr>
        <w:pBdr>
          <w:top w:val="nil"/>
          <w:left w:val="nil"/>
          <w:bottom w:val="nil"/>
          <w:right w:val="nil"/>
          <w:between w:val="nil"/>
        </w:pBdr>
        <w:rPr>
          <w:rFonts w:ascii="Arial" w:eastAsia="Arial" w:hAnsi="Arial" w:cs="Arial"/>
          <w:highlight w:val="white"/>
        </w:rPr>
      </w:pPr>
      <w:r>
        <w:rPr>
          <w:rFonts w:ascii="Arial" w:eastAsia="Arial" w:hAnsi="Arial" w:cs="Arial"/>
          <w:highlight w:val="white"/>
        </w:rPr>
        <w:t xml:space="preserve">Another key finding during the pilot was that speaking cadence is affected when a patient is in pain. Consider a woman who experiences contractions before going into labor, for example. Until the AI is trained to better anticipate how pain affects speech, </w:t>
      </w:r>
      <w:r>
        <w:rPr>
          <w:rFonts w:ascii="Arial" w:eastAsia="Arial" w:hAnsi="Arial" w:cs="Arial"/>
          <w:highlight w:val="white"/>
        </w:rPr>
        <w:lastRenderedPageBreak/>
        <w:t>high urgency interactions are not recommended. Additionally, the transcription of hard-to-hear conversations was responsible for more interjections than translation accuracy. Issues stemming from background noise can be mitigated by implementing an appropriate hardware solution.</w:t>
      </w:r>
    </w:p>
    <w:p w:rsidR="0000578C" w:rsidRDefault="00510A19">
      <w:pPr>
        <w:pBdr>
          <w:top w:val="nil"/>
          <w:left w:val="nil"/>
          <w:bottom w:val="nil"/>
          <w:right w:val="nil"/>
          <w:between w:val="nil"/>
        </w:pBdr>
        <w:rPr>
          <w:rFonts w:ascii="Arial" w:eastAsia="Arial" w:hAnsi="Arial" w:cs="Arial"/>
          <w:b/>
          <w:highlight w:val="white"/>
        </w:rPr>
      </w:pPr>
      <w:r>
        <w:rPr>
          <w:rFonts w:ascii="Arial" w:eastAsia="Arial" w:hAnsi="Arial" w:cs="Arial"/>
          <w:b/>
          <w:highlight w:val="white"/>
        </w:rPr>
        <w:t>Additional AI research</w:t>
      </w:r>
    </w:p>
    <w:p w:rsidR="0000578C" w:rsidRDefault="00510A19">
      <w:pPr>
        <w:pBdr>
          <w:top w:val="nil"/>
          <w:left w:val="nil"/>
          <w:bottom w:val="nil"/>
          <w:right w:val="nil"/>
          <w:between w:val="nil"/>
        </w:pBdr>
        <w:rPr>
          <w:rFonts w:ascii="Arial" w:eastAsia="Arial" w:hAnsi="Arial" w:cs="Arial"/>
          <w:highlight w:val="white"/>
        </w:rPr>
      </w:pPr>
      <w:r>
        <w:rPr>
          <w:rFonts w:ascii="Arial" w:eastAsia="Arial" w:hAnsi="Arial" w:cs="Arial"/>
          <w:highlight w:val="white"/>
        </w:rPr>
        <w:t xml:space="preserve">Along with testing and launching the industry’s first healthcare-optimized AI interpreter, GLOBO has also been utilizing AI to evaluate 100% of its live video and audio interpreter sessions. First to market with </w:t>
      </w:r>
      <w:hyperlink r:id="rId30">
        <w:r>
          <w:rPr>
            <w:rFonts w:ascii="Arial" w:eastAsia="Arial" w:hAnsi="Arial" w:cs="Arial"/>
            <w:color w:val="467886"/>
            <w:highlight w:val="white"/>
            <w:u w:val="single"/>
          </w:rPr>
          <w:t>GLOBO Live Quality</w:t>
        </w:r>
      </w:hyperlink>
      <w:r>
        <w:rPr>
          <w:rFonts w:ascii="Arial" w:eastAsia="Arial" w:hAnsi="Arial" w:cs="Arial"/>
          <w:highlight w:val="white"/>
          <w:vertAlign w:val="superscript"/>
        </w:rPr>
        <w:t>14</w:t>
      </w:r>
      <w:r>
        <w:rPr>
          <w:rFonts w:ascii="Arial" w:eastAsia="Arial" w:hAnsi="Arial" w:cs="Arial"/>
          <w:highlight w:val="white"/>
        </w:rPr>
        <w:t xml:space="preserve"> AI monitoring, the technology helps to ensure a more compliant and professional experience during every encounter. </w:t>
      </w:r>
    </w:p>
    <w:p w:rsidR="0000578C" w:rsidRDefault="00510A19">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Although </w:t>
      </w:r>
      <w:hyperlink r:id="rId31">
        <w:r>
          <w:rPr>
            <w:rFonts w:ascii="Arial" w:eastAsia="Arial" w:hAnsi="Arial" w:cs="Arial"/>
            <w:color w:val="467886"/>
            <w:u w:val="single"/>
          </w:rPr>
          <w:t>interpreter standards</w:t>
        </w:r>
      </w:hyperlink>
      <w:r>
        <w:rPr>
          <w:rFonts w:ascii="Arial" w:eastAsia="Arial" w:hAnsi="Arial" w:cs="Arial"/>
          <w:vertAlign w:val="superscript"/>
        </w:rPr>
        <w:t>15</w:t>
      </w:r>
      <w:r>
        <w:rPr>
          <w:rFonts w:ascii="Arial" w:eastAsia="Arial" w:hAnsi="Arial" w:cs="Arial"/>
          <w:color w:val="000000"/>
        </w:rPr>
        <w:t xml:space="preserve"> are in place today, monitoring practices vary widely among health systems and language service providers. Interpreter quality evaluations are typically manual</w:t>
      </w:r>
      <w:r>
        <w:rPr>
          <w:rFonts w:ascii="Arial" w:eastAsia="Arial" w:hAnsi="Arial" w:cs="Arial"/>
        </w:rPr>
        <w:t>,</w:t>
      </w:r>
      <w:r>
        <w:rPr>
          <w:rFonts w:ascii="Arial" w:eastAsia="Arial" w:hAnsi="Arial" w:cs="Arial"/>
          <w:color w:val="000000"/>
        </w:rPr>
        <w:t xml:space="preserve"> with humans reviewing a sampling of sessions to ensure consistent quality and user experiences across the board. </w:t>
      </w:r>
    </w:p>
    <w:p w:rsidR="0000578C" w:rsidRDefault="0000578C">
      <w:pPr>
        <w:pBdr>
          <w:top w:val="nil"/>
          <w:left w:val="nil"/>
          <w:bottom w:val="nil"/>
          <w:right w:val="nil"/>
          <w:between w:val="nil"/>
        </w:pBdr>
        <w:spacing w:after="0" w:line="240" w:lineRule="auto"/>
        <w:rPr>
          <w:rFonts w:ascii="Arial" w:eastAsia="Arial" w:hAnsi="Arial" w:cs="Arial"/>
          <w:color w:val="000000"/>
        </w:rPr>
      </w:pPr>
    </w:p>
    <w:p w:rsidR="0000578C" w:rsidRDefault="00510A19">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Relying on manual sampling can be especially problematic for large healthcare organizations averaging 100,000 minutes or more of video and audio remote interpreting each month</w:t>
      </w:r>
      <w:r>
        <w:rPr>
          <w:rFonts w:ascii="Arial" w:eastAsia="Arial" w:hAnsi="Arial" w:cs="Arial"/>
        </w:rPr>
        <w:t>.</w:t>
      </w:r>
      <w:r>
        <w:rPr>
          <w:rFonts w:ascii="Arial" w:eastAsia="Arial" w:hAnsi="Arial" w:cs="Arial"/>
          <w:vertAlign w:val="superscript"/>
        </w:rPr>
        <w:t>16</w:t>
      </w:r>
      <w:r>
        <w:rPr>
          <w:rFonts w:ascii="Arial" w:eastAsia="Arial" w:hAnsi="Arial" w:cs="Arial"/>
          <w:color w:val="000000"/>
        </w:rPr>
        <w:t xml:space="preserve"> At high volume, humans can only evaluate a small fraction of interactions to identify and reduce language barriers.</w:t>
      </w:r>
    </w:p>
    <w:p w:rsidR="0000578C" w:rsidRDefault="0000578C">
      <w:pPr>
        <w:pBdr>
          <w:top w:val="nil"/>
          <w:left w:val="nil"/>
          <w:bottom w:val="nil"/>
          <w:right w:val="nil"/>
          <w:between w:val="nil"/>
        </w:pBdr>
        <w:spacing w:after="0" w:line="240" w:lineRule="auto"/>
        <w:rPr>
          <w:rFonts w:ascii="Arial" w:eastAsia="Arial" w:hAnsi="Arial" w:cs="Arial"/>
          <w:color w:val="000000"/>
        </w:rPr>
      </w:pPr>
    </w:p>
    <w:p w:rsidR="0000578C" w:rsidRDefault="00510A19">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Jennifer Winters, </w:t>
      </w:r>
      <w:r>
        <w:rPr>
          <w:rFonts w:ascii="Arial" w:eastAsia="Arial" w:hAnsi="Arial" w:cs="Arial"/>
        </w:rPr>
        <w:t>a</w:t>
      </w:r>
      <w:r>
        <w:rPr>
          <w:rFonts w:ascii="Arial" w:eastAsia="Arial" w:hAnsi="Arial" w:cs="Arial"/>
          <w:color w:val="000000"/>
        </w:rPr>
        <w:t xml:space="preserve">ssistant </w:t>
      </w:r>
      <w:r>
        <w:rPr>
          <w:rFonts w:ascii="Arial" w:eastAsia="Arial" w:hAnsi="Arial" w:cs="Arial"/>
        </w:rPr>
        <w:t>v</w:t>
      </w:r>
      <w:r>
        <w:rPr>
          <w:rFonts w:ascii="Arial" w:eastAsia="Arial" w:hAnsi="Arial" w:cs="Arial"/>
          <w:color w:val="000000"/>
        </w:rPr>
        <w:t xml:space="preserve">ice </w:t>
      </w:r>
      <w:r>
        <w:rPr>
          <w:rFonts w:ascii="Arial" w:eastAsia="Arial" w:hAnsi="Arial" w:cs="Arial"/>
        </w:rPr>
        <w:t>president</w:t>
      </w:r>
      <w:r>
        <w:rPr>
          <w:rFonts w:ascii="Arial" w:eastAsia="Arial" w:hAnsi="Arial" w:cs="Arial"/>
          <w:color w:val="000000"/>
        </w:rPr>
        <w:t xml:space="preserve"> of Value Based Care at </w:t>
      </w:r>
      <w:r>
        <w:rPr>
          <w:rFonts w:ascii="Arial" w:eastAsia="Arial" w:hAnsi="Arial" w:cs="Arial"/>
        </w:rPr>
        <w:t>Affinia Healthcare</w:t>
      </w:r>
      <w:r>
        <w:rPr>
          <w:rFonts w:ascii="Arial" w:eastAsia="Arial" w:hAnsi="Arial" w:cs="Arial"/>
          <w:color w:val="000000"/>
        </w:rPr>
        <w:t>, emphasized the importance of having high</w:t>
      </w:r>
      <w:r>
        <w:rPr>
          <w:rFonts w:ascii="Arial" w:eastAsia="Arial" w:hAnsi="Arial" w:cs="Arial"/>
        </w:rPr>
        <w:t>-</w:t>
      </w:r>
      <w:r>
        <w:rPr>
          <w:rFonts w:ascii="Arial" w:eastAsia="Arial" w:hAnsi="Arial" w:cs="Arial"/>
          <w:color w:val="000000"/>
        </w:rPr>
        <w:t xml:space="preserve">quality interpretation </w:t>
      </w:r>
      <w:r>
        <w:rPr>
          <w:rFonts w:ascii="Arial" w:eastAsia="Arial" w:hAnsi="Arial" w:cs="Arial"/>
        </w:rPr>
        <w:t>from the start</w:t>
      </w:r>
      <w:r>
        <w:rPr>
          <w:rFonts w:ascii="Arial" w:eastAsia="Arial" w:hAnsi="Arial" w:cs="Arial"/>
          <w:color w:val="000000"/>
        </w:rPr>
        <w:t xml:space="preserve"> of care and called it “fundamental” to any quality interpreting program. “Recognizing the patient’s cultural and linguistic needs can create a greater level of understanding, leading to better outcomes, and reduced repeat </w:t>
      </w:r>
      <w:r>
        <w:rPr>
          <w:rFonts w:ascii="Arial" w:eastAsia="Arial" w:hAnsi="Arial" w:cs="Arial"/>
          <w:color w:val="0E101A"/>
        </w:rPr>
        <w:t>visits, as it allows healthcare providers to see a more complete picture of the patient's health,” she said.</w:t>
      </w:r>
    </w:p>
    <w:p w:rsidR="0000578C" w:rsidRDefault="0000578C">
      <w:pPr>
        <w:spacing w:after="0" w:line="240" w:lineRule="auto"/>
        <w:rPr>
          <w:rFonts w:ascii="Arial" w:eastAsia="Arial" w:hAnsi="Arial" w:cs="Arial"/>
        </w:rPr>
      </w:pPr>
    </w:p>
    <w:p w:rsidR="0000578C" w:rsidRDefault="00510A19">
      <w:pPr>
        <w:spacing w:after="0" w:line="240" w:lineRule="auto"/>
        <w:rPr>
          <w:rFonts w:ascii="Arial" w:eastAsia="Arial" w:hAnsi="Arial" w:cs="Arial"/>
        </w:rPr>
      </w:pPr>
      <w:r>
        <w:rPr>
          <w:rFonts w:ascii="Arial" w:eastAsia="Arial" w:hAnsi="Arial" w:cs="Arial"/>
          <w:color w:val="000000"/>
        </w:rPr>
        <w:t xml:space="preserve">Said Elizabeth Robeck, GLOBO </w:t>
      </w:r>
      <w:r>
        <w:rPr>
          <w:rFonts w:ascii="Arial" w:eastAsia="Arial" w:hAnsi="Arial" w:cs="Arial"/>
        </w:rPr>
        <w:t>s</w:t>
      </w:r>
      <w:r>
        <w:rPr>
          <w:rFonts w:ascii="Arial" w:eastAsia="Arial" w:hAnsi="Arial" w:cs="Arial"/>
          <w:color w:val="000000"/>
        </w:rPr>
        <w:t xml:space="preserve">enior </w:t>
      </w:r>
      <w:r>
        <w:rPr>
          <w:rFonts w:ascii="Arial" w:eastAsia="Arial" w:hAnsi="Arial" w:cs="Arial"/>
        </w:rPr>
        <w:t>v</w:t>
      </w:r>
      <w:r>
        <w:rPr>
          <w:rFonts w:ascii="Arial" w:eastAsia="Arial" w:hAnsi="Arial" w:cs="Arial"/>
          <w:color w:val="000000"/>
        </w:rPr>
        <w:t xml:space="preserve">ice </w:t>
      </w:r>
      <w:r>
        <w:rPr>
          <w:rFonts w:ascii="Arial" w:eastAsia="Arial" w:hAnsi="Arial" w:cs="Arial"/>
        </w:rPr>
        <w:t>president</w:t>
      </w:r>
      <w:r>
        <w:rPr>
          <w:rFonts w:ascii="Arial" w:eastAsia="Arial" w:hAnsi="Arial" w:cs="Arial"/>
          <w:color w:val="000000"/>
        </w:rPr>
        <w:t xml:space="preserve"> of </w:t>
      </w:r>
      <w:r>
        <w:rPr>
          <w:rFonts w:ascii="Arial" w:eastAsia="Arial" w:hAnsi="Arial" w:cs="Arial"/>
        </w:rPr>
        <w:t>o</w:t>
      </w:r>
      <w:r>
        <w:rPr>
          <w:rFonts w:ascii="Arial" w:eastAsia="Arial" w:hAnsi="Arial" w:cs="Arial"/>
          <w:color w:val="000000"/>
        </w:rPr>
        <w:t>perations, “GLOBO Live Quality provides greater insight into the quality of each interaction, delivering consistent experiences for patients and providers.” </w:t>
      </w:r>
    </w:p>
    <w:p w:rsidR="0000578C" w:rsidRDefault="0000578C">
      <w:pPr>
        <w:spacing w:after="0" w:line="240" w:lineRule="auto"/>
        <w:rPr>
          <w:rFonts w:ascii="Arial" w:eastAsia="Arial" w:hAnsi="Arial" w:cs="Arial"/>
        </w:rPr>
      </w:pPr>
    </w:p>
    <w:p w:rsidR="0000578C" w:rsidRDefault="00510A19">
      <w:pPr>
        <w:spacing w:after="0" w:line="240" w:lineRule="auto"/>
        <w:rPr>
          <w:rFonts w:ascii="Arial" w:eastAsia="Arial" w:hAnsi="Arial" w:cs="Arial"/>
        </w:rPr>
      </w:pPr>
      <w:r>
        <w:rPr>
          <w:rFonts w:ascii="Arial" w:eastAsia="Arial" w:hAnsi="Arial" w:cs="Arial"/>
          <w:color w:val="0E101A"/>
        </w:rPr>
        <w:t>Having the capability to evaluate every interaction also puts the language solutions industry one step closer to better defining measurable standards for assessing the quality of each medical interpretation session. In this spirit, GLOBO Live Quality is more than just an improvement in language services; it represents a crucial step closer to ensuring safer, more effective care for all patients, regardless of what language they speak. </w:t>
      </w:r>
    </w:p>
    <w:p w:rsidR="0000578C" w:rsidRDefault="0000578C">
      <w:pPr>
        <w:spacing w:after="0" w:line="240" w:lineRule="auto"/>
        <w:rPr>
          <w:rFonts w:ascii="Arial" w:eastAsia="Arial" w:hAnsi="Arial" w:cs="Arial"/>
        </w:rPr>
      </w:pPr>
    </w:p>
    <w:p w:rsidR="0000578C" w:rsidRDefault="00510A19">
      <w:pPr>
        <w:rPr>
          <w:rFonts w:ascii="Arial" w:eastAsia="Arial" w:hAnsi="Arial" w:cs="Arial"/>
        </w:rPr>
      </w:pPr>
      <w:r>
        <w:br w:type="page"/>
      </w:r>
    </w:p>
    <w:p w:rsidR="0000578C" w:rsidRDefault="00510A19">
      <w:pPr>
        <w:pBdr>
          <w:top w:val="nil"/>
          <w:left w:val="nil"/>
          <w:bottom w:val="nil"/>
          <w:right w:val="nil"/>
          <w:between w:val="nil"/>
        </w:pBdr>
        <w:spacing w:after="0" w:line="240" w:lineRule="auto"/>
        <w:rPr>
          <w:rFonts w:ascii="Arial" w:eastAsia="Arial" w:hAnsi="Arial" w:cs="Arial"/>
          <w:b/>
          <w:sz w:val="38"/>
          <w:szCs w:val="38"/>
        </w:rPr>
      </w:pPr>
      <w:r>
        <w:rPr>
          <w:rFonts w:ascii="Arial" w:eastAsia="Arial" w:hAnsi="Arial" w:cs="Arial"/>
          <w:b/>
          <w:sz w:val="38"/>
          <w:szCs w:val="38"/>
        </w:rPr>
        <w:lastRenderedPageBreak/>
        <w:t xml:space="preserve">GLOBO </w:t>
      </w:r>
      <w:r>
        <w:rPr>
          <w:rFonts w:ascii="Arial" w:eastAsia="Arial" w:hAnsi="Arial" w:cs="Arial"/>
          <w:b/>
          <w:color w:val="000000"/>
          <w:sz w:val="38"/>
          <w:szCs w:val="38"/>
        </w:rPr>
        <w:t>Evolv</w:t>
      </w:r>
      <w:r>
        <w:rPr>
          <w:rFonts w:ascii="Arial" w:eastAsia="Arial" w:hAnsi="Arial" w:cs="Arial"/>
          <w:b/>
          <w:sz w:val="38"/>
          <w:szCs w:val="38"/>
        </w:rPr>
        <w:t>es</w:t>
      </w:r>
      <w:r>
        <w:rPr>
          <w:rFonts w:ascii="Arial" w:eastAsia="Arial" w:hAnsi="Arial" w:cs="Arial"/>
          <w:b/>
          <w:color w:val="000000"/>
          <w:sz w:val="38"/>
          <w:szCs w:val="38"/>
        </w:rPr>
        <w:t xml:space="preserve"> Language Solutions to Meet Communications Needs</w:t>
      </w:r>
    </w:p>
    <w:p w:rsidR="0000578C" w:rsidRDefault="0000578C">
      <w:pPr>
        <w:pBdr>
          <w:top w:val="nil"/>
          <w:left w:val="nil"/>
          <w:bottom w:val="nil"/>
          <w:right w:val="nil"/>
          <w:between w:val="nil"/>
        </w:pBdr>
        <w:spacing w:after="0" w:line="240" w:lineRule="auto"/>
        <w:rPr>
          <w:rFonts w:ascii="Arial" w:eastAsia="Arial" w:hAnsi="Arial" w:cs="Arial"/>
          <w:b/>
          <w:color w:val="000000"/>
        </w:rPr>
      </w:pPr>
    </w:p>
    <w:p w:rsidR="0000578C" w:rsidRDefault="00510A19">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GLOBO CEO Dipak Patel’s vision goes beyond serving healthcare as “just another vendor.” He characterizes GLOBO as a “patient communication company” whose vision is to “support health systems, hospitals, physician practices, clinics, and other healthcare organizations across the patient journey, meeting federal mandates to provide access wherever and whenever the patient needs it.</w:t>
      </w:r>
      <w:r>
        <w:rPr>
          <w:rFonts w:ascii="Arial" w:eastAsia="Arial" w:hAnsi="Arial" w:cs="Arial"/>
        </w:rPr>
        <w:t>”</w:t>
      </w:r>
    </w:p>
    <w:p w:rsidR="0000578C" w:rsidRDefault="0000578C">
      <w:pPr>
        <w:pBdr>
          <w:top w:val="nil"/>
          <w:left w:val="nil"/>
          <w:bottom w:val="nil"/>
          <w:right w:val="nil"/>
          <w:between w:val="nil"/>
        </w:pBdr>
        <w:spacing w:after="0" w:line="240" w:lineRule="auto"/>
        <w:rPr>
          <w:rFonts w:ascii="Arial" w:eastAsia="Arial" w:hAnsi="Arial" w:cs="Arial"/>
          <w:color w:val="000000"/>
        </w:rPr>
      </w:pPr>
    </w:p>
    <w:p w:rsidR="0000578C" w:rsidRDefault="00510A19">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This vision is facilitated through GLOBO’s robust portfolio of offerings, which includes an AI-enabled platform</w:t>
      </w:r>
      <w:r>
        <w:rPr>
          <w:rFonts w:ascii="Arial" w:eastAsia="Arial" w:hAnsi="Arial" w:cs="Arial"/>
        </w:rPr>
        <w:t>;</w:t>
      </w:r>
      <w:r>
        <w:rPr>
          <w:rFonts w:ascii="Arial" w:eastAsia="Arial" w:hAnsi="Arial" w:cs="Arial"/>
          <w:color w:val="000000"/>
        </w:rPr>
        <w:t xml:space="preserve"> a robust network of live interpreters covering more than 430 languages via</w:t>
      </w:r>
      <w:r>
        <w:rPr>
          <w:rFonts w:ascii="Arial" w:eastAsia="Arial" w:hAnsi="Arial" w:cs="Arial"/>
        </w:rPr>
        <w:t xml:space="preserve"> audio, video, on-site, and sign language interpreting;</w:t>
      </w:r>
      <w:r>
        <w:rPr>
          <w:rFonts w:ascii="Arial" w:eastAsia="Arial" w:hAnsi="Arial" w:cs="Arial"/>
          <w:color w:val="000000"/>
        </w:rPr>
        <w:t xml:space="preserve"> and the newest GLOBO KAI™</w:t>
      </w:r>
      <w:r>
        <w:rPr>
          <w:rFonts w:ascii="Arial" w:eastAsia="Arial" w:hAnsi="Arial" w:cs="Arial"/>
        </w:rPr>
        <w:t xml:space="preserve"> AI i</w:t>
      </w:r>
      <w:r>
        <w:rPr>
          <w:rFonts w:ascii="Arial" w:eastAsia="Arial" w:hAnsi="Arial" w:cs="Arial"/>
          <w:color w:val="000000"/>
        </w:rPr>
        <w:t>nterpreter and GLOBO Live Quality offerings.</w:t>
      </w:r>
    </w:p>
    <w:p w:rsidR="0000578C" w:rsidRDefault="0000578C">
      <w:pPr>
        <w:pBdr>
          <w:top w:val="nil"/>
          <w:left w:val="nil"/>
          <w:bottom w:val="nil"/>
          <w:right w:val="nil"/>
          <w:between w:val="nil"/>
        </w:pBdr>
        <w:spacing w:after="0" w:line="240" w:lineRule="auto"/>
        <w:rPr>
          <w:rFonts w:ascii="Arial" w:eastAsia="Arial" w:hAnsi="Arial" w:cs="Arial"/>
          <w:color w:val="000000"/>
        </w:rPr>
      </w:pPr>
    </w:p>
    <w:p w:rsidR="0000578C" w:rsidRDefault="00510A19">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“Ultimately, we believe AI will transform language solutions for health systems, hospitals</w:t>
      </w:r>
      <w:r>
        <w:rPr>
          <w:rFonts w:ascii="Arial" w:eastAsia="Arial" w:hAnsi="Arial" w:cs="Arial"/>
        </w:rPr>
        <w:t xml:space="preserve">, </w:t>
      </w:r>
      <w:r>
        <w:rPr>
          <w:rFonts w:ascii="Arial" w:eastAsia="Arial" w:hAnsi="Arial" w:cs="Arial"/>
          <w:color w:val="000000"/>
        </w:rPr>
        <w:t>p</w:t>
      </w:r>
      <w:r>
        <w:rPr>
          <w:rFonts w:ascii="Arial" w:eastAsia="Arial" w:hAnsi="Arial" w:cs="Arial"/>
        </w:rPr>
        <w:t>hysician practices,</w:t>
      </w:r>
      <w:r>
        <w:rPr>
          <w:rFonts w:ascii="Arial" w:eastAsia="Arial" w:hAnsi="Arial" w:cs="Arial"/>
          <w:color w:val="000000"/>
        </w:rPr>
        <w:t xml:space="preserve"> and other healthcare organizations. There are</w:t>
      </w:r>
      <w:r>
        <w:rPr>
          <w:rFonts w:ascii="Arial" w:eastAsia="Arial" w:hAnsi="Arial" w:cs="Arial"/>
        </w:rPr>
        <w:t xml:space="preserve"> many</w:t>
      </w:r>
      <w:r>
        <w:rPr>
          <w:rFonts w:ascii="Arial" w:eastAsia="Arial" w:hAnsi="Arial" w:cs="Arial"/>
          <w:color w:val="000000"/>
        </w:rPr>
        <w:t xml:space="preserve"> touchpoints where AI can and should be used to ensure patients get the information they need, in their language of choice, throughout their healthcare journey.”</w:t>
      </w:r>
    </w:p>
    <w:p w:rsidR="0000578C" w:rsidRDefault="0000578C">
      <w:pPr>
        <w:pBdr>
          <w:top w:val="nil"/>
          <w:left w:val="nil"/>
          <w:bottom w:val="nil"/>
          <w:right w:val="nil"/>
          <w:between w:val="nil"/>
        </w:pBdr>
        <w:spacing w:after="0" w:line="240" w:lineRule="auto"/>
        <w:rPr>
          <w:rFonts w:ascii="Arial" w:eastAsia="Arial" w:hAnsi="Arial" w:cs="Arial"/>
          <w:color w:val="000000"/>
        </w:rPr>
      </w:pPr>
    </w:p>
    <w:p w:rsidR="0000578C" w:rsidRDefault="00510A19">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Ready to learn how GLOBO can integrate language solutions across your patients</w:t>
      </w:r>
      <w:r>
        <w:rPr>
          <w:rFonts w:ascii="Arial" w:eastAsia="Arial" w:hAnsi="Arial" w:cs="Arial"/>
        </w:rPr>
        <w:t>’</w:t>
      </w:r>
      <w:r>
        <w:rPr>
          <w:rFonts w:ascii="Arial" w:eastAsia="Arial" w:hAnsi="Arial" w:cs="Arial"/>
          <w:color w:val="000000"/>
        </w:rPr>
        <w:t xml:space="preserve"> health journey? Request a </w:t>
      </w:r>
      <w:hyperlink r:id="rId32">
        <w:r>
          <w:rPr>
            <w:rFonts w:ascii="Arial" w:eastAsia="Arial" w:hAnsi="Arial" w:cs="Arial"/>
            <w:color w:val="467886"/>
            <w:u w:val="single"/>
          </w:rPr>
          <w:t>demo</w:t>
        </w:r>
      </w:hyperlink>
      <w:r>
        <w:rPr>
          <w:rFonts w:ascii="Arial" w:eastAsia="Arial" w:hAnsi="Arial" w:cs="Arial"/>
          <w:color w:val="000000"/>
        </w:rPr>
        <w:t xml:space="preserve"> with a GLOBO language access expert. </w:t>
      </w:r>
    </w:p>
    <w:p w:rsidR="0000578C" w:rsidRDefault="0000578C">
      <w:pPr>
        <w:pBdr>
          <w:top w:val="nil"/>
          <w:left w:val="nil"/>
          <w:bottom w:val="nil"/>
          <w:right w:val="nil"/>
          <w:between w:val="nil"/>
        </w:pBdr>
        <w:spacing w:after="0" w:line="240" w:lineRule="auto"/>
        <w:rPr>
          <w:rFonts w:ascii="Arial" w:eastAsia="Arial" w:hAnsi="Arial" w:cs="Arial"/>
          <w:color w:val="000000"/>
        </w:rPr>
      </w:pPr>
    </w:p>
    <w:p w:rsidR="0000578C" w:rsidRDefault="0000578C">
      <w:pPr>
        <w:rPr>
          <w:rFonts w:ascii="Arial" w:eastAsia="Arial" w:hAnsi="Arial" w:cs="Arial"/>
        </w:rPr>
      </w:pPr>
    </w:p>
    <w:p w:rsidR="0000578C" w:rsidRPr="00CF7372" w:rsidRDefault="00CF7372">
      <w:pPr>
        <w:pBdr>
          <w:top w:val="nil"/>
          <w:left w:val="nil"/>
          <w:bottom w:val="nil"/>
          <w:right w:val="nil"/>
          <w:between w:val="nil"/>
        </w:pBdr>
        <w:rPr>
          <w:rFonts w:ascii="Arial" w:eastAsia="Arial" w:hAnsi="Arial" w:cs="Arial"/>
          <w:b/>
          <w:highlight w:val="white"/>
        </w:rPr>
      </w:pPr>
      <w:r>
        <w:rPr>
          <w:rFonts w:ascii="Arial" w:eastAsia="Arial" w:hAnsi="Arial" w:cs="Arial"/>
          <w:b/>
          <w:highlight w:val="white"/>
        </w:rPr>
        <w:t>References</w:t>
      </w:r>
    </w:p>
    <w:p w:rsidR="0000578C" w:rsidRDefault="00510A19">
      <w:pPr>
        <w:spacing w:line="301" w:lineRule="auto"/>
        <w:rPr>
          <w:rFonts w:ascii="Arial" w:eastAsia="Arial" w:hAnsi="Arial" w:cs="Arial"/>
          <w:highlight w:val="white"/>
        </w:rPr>
      </w:pPr>
      <w:r>
        <w:rPr>
          <w:rFonts w:ascii="Arial" w:eastAsia="Arial" w:hAnsi="Arial" w:cs="Arial"/>
          <w:highlight w:val="white"/>
          <w:vertAlign w:val="superscript"/>
        </w:rPr>
        <w:t xml:space="preserve">1 </w:t>
      </w:r>
      <w:r>
        <w:rPr>
          <w:rFonts w:ascii="Arial" w:eastAsia="Arial" w:hAnsi="Arial" w:cs="Arial"/>
          <w:highlight w:val="white"/>
        </w:rPr>
        <w:t xml:space="preserve">Txabarriaga, Rocío. “Number of Non-English-Speaking Households Continues to Rise in the United States.” </w:t>
      </w:r>
      <w:r>
        <w:rPr>
          <w:rFonts w:ascii="Arial" w:eastAsia="Arial" w:hAnsi="Arial" w:cs="Arial"/>
          <w:i/>
          <w:highlight w:val="white"/>
        </w:rPr>
        <w:t>Slator</w:t>
      </w:r>
      <w:r>
        <w:rPr>
          <w:rFonts w:ascii="Arial" w:eastAsia="Arial" w:hAnsi="Arial" w:cs="Arial"/>
          <w:highlight w:val="white"/>
        </w:rPr>
        <w:t>, 21, Nov. 2019,</w:t>
      </w:r>
      <w:hyperlink r:id="rId33">
        <w:r>
          <w:rPr>
            <w:rFonts w:ascii="Arial" w:eastAsia="Arial" w:hAnsi="Arial" w:cs="Arial"/>
            <w:color w:val="467886"/>
            <w:highlight w:val="white"/>
            <w:u w:val="single"/>
          </w:rPr>
          <w:t>https://slator.com/number-non-english-speaking-households-continues-to-rise-united-states/</w:t>
        </w:r>
      </w:hyperlink>
      <w:r>
        <w:rPr>
          <w:rFonts w:ascii="Arial" w:eastAsia="Arial" w:hAnsi="Arial" w:cs="Arial"/>
          <w:highlight w:val="white"/>
        </w:rPr>
        <w:t>.</w:t>
      </w:r>
    </w:p>
    <w:p w:rsidR="0000578C" w:rsidRDefault="00510A19">
      <w:pPr>
        <w:spacing w:line="301" w:lineRule="auto"/>
        <w:rPr>
          <w:rFonts w:ascii="Arial" w:eastAsia="Arial" w:hAnsi="Arial" w:cs="Arial"/>
          <w:highlight w:val="white"/>
        </w:rPr>
      </w:pPr>
      <w:r>
        <w:rPr>
          <w:rFonts w:ascii="Arial" w:eastAsia="Arial" w:hAnsi="Arial" w:cs="Arial"/>
          <w:highlight w:val="white"/>
          <w:vertAlign w:val="superscript"/>
        </w:rPr>
        <w:t xml:space="preserve">2  </w:t>
      </w:r>
      <w:r>
        <w:rPr>
          <w:rFonts w:ascii="Arial" w:eastAsia="Arial" w:hAnsi="Arial" w:cs="Arial"/>
          <w:highlight w:val="white"/>
        </w:rPr>
        <w:t xml:space="preserve">Howick, Jeremy; Bennett-Weston, Amber; Solomon, Josie; Nockels, Keith; Bostock, Jennifer; Kieshtkar, Leila. “How Does Communication Affect Patient Safety? Protocol for a Systemic Review and Logic Model.” </w:t>
      </w:r>
      <w:r>
        <w:rPr>
          <w:rFonts w:ascii="Arial" w:eastAsia="Arial" w:hAnsi="Arial" w:cs="Arial"/>
          <w:i/>
          <w:highlight w:val="white"/>
        </w:rPr>
        <w:t>National Library of Medicine</w:t>
      </w:r>
      <w:r>
        <w:rPr>
          <w:rFonts w:ascii="Arial" w:eastAsia="Arial" w:hAnsi="Arial" w:cs="Arial"/>
          <w:highlight w:val="white"/>
        </w:rPr>
        <w:t xml:space="preserve"> (NIH), 27, May, 2024. </w:t>
      </w:r>
      <w:hyperlink r:id="rId34">
        <w:r>
          <w:rPr>
            <w:rFonts w:ascii="Arial" w:eastAsia="Arial" w:hAnsi="Arial" w:cs="Arial"/>
            <w:color w:val="1155CC"/>
            <w:highlight w:val="white"/>
            <w:u w:val="single"/>
          </w:rPr>
          <w:t>https://pmc.ncbi.nlm.nih.gov/articles/PMC11131125/</w:t>
        </w:r>
      </w:hyperlink>
    </w:p>
    <w:p w:rsidR="0000578C" w:rsidRDefault="00510A19">
      <w:pPr>
        <w:spacing w:line="301" w:lineRule="auto"/>
        <w:rPr>
          <w:rFonts w:ascii="Arial" w:eastAsia="Arial" w:hAnsi="Arial" w:cs="Arial"/>
          <w:highlight w:val="white"/>
        </w:rPr>
      </w:pPr>
      <w:r>
        <w:rPr>
          <w:rFonts w:ascii="Arial" w:eastAsia="Arial" w:hAnsi="Arial" w:cs="Arial"/>
          <w:highlight w:val="white"/>
          <w:vertAlign w:val="superscript"/>
        </w:rPr>
        <w:t>3</w:t>
      </w:r>
      <w:r>
        <w:rPr>
          <w:rFonts w:ascii="Arial" w:eastAsia="Arial" w:hAnsi="Arial" w:cs="Arial"/>
          <w:highlight w:val="white"/>
        </w:rPr>
        <w:t xml:space="preserve"> Johnson, Tyler. “The Importance of Physician-Patient Relationships Communication and Trust in Health Care.” </w:t>
      </w:r>
      <w:r>
        <w:rPr>
          <w:rFonts w:ascii="Arial" w:eastAsia="Arial" w:hAnsi="Arial" w:cs="Arial"/>
          <w:i/>
          <w:highlight w:val="white"/>
        </w:rPr>
        <w:t>Duke Center for Personalized Health Care</w:t>
      </w:r>
      <w:r>
        <w:rPr>
          <w:rFonts w:ascii="Arial" w:eastAsia="Arial" w:hAnsi="Arial" w:cs="Arial"/>
          <w:highlight w:val="white"/>
        </w:rPr>
        <w:t xml:space="preserve">, 11, Mar., 2019. </w:t>
      </w:r>
      <w:hyperlink r:id="rId35">
        <w:r>
          <w:rPr>
            <w:rFonts w:ascii="Arial" w:eastAsia="Arial" w:hAnsi="Arial" w:cs="Arial"/>
            <w:color w:val="1155CC"/>
            <w:highlight w:val="white"/>
            <w:u w:val="single"/>
          </w:rPr>
          <w:t>https://personalizedhealth.duke.edu/blog/importance-physician-patient-relationships-communication-and-trust-health-care</w:t>
        </w:r>
      </w:hyperlink>
    </w:p>
    <w:p w:rsidR="0000578C" w:rsidRDefault="00510A19">
      <w:pPr>
        <w:spacing w:line="301" w:lineRule="auto"/>
        <w:rPr>
          <w:rFonts w:ascii="Arial" w:eastAsia="Arial" w:hAnsi="Arial" w:cs="Arial"/>
          <w:highlight w:val="white"/>
        </w:rPr>
      </w:pPr>
      <w:r>
        <w:rPr>
          <w:rFonts w:ascii="Arial" w:eastAsia="Arial" w:hAnsi="Arial" w:cs="Arial"/>
          <w:highlight w:val="white"/>
          <w:vertAlign w:val="superscript"/>
        </w:rPr>
        <w:t>4</w:t>
      </w:r>
      <w:r>
        <w:rPr>
          <w:rFonts w:ascii="Arial" w:eastAsia="Arial" w:hAnsi="Arial" w:cs="Arial"/>
          <w:highlight w:val="white"/>
        </w:rPr>
        <w:t xml:space="preserve"> Office of the Secretary. “Language Access Provisions of the Final Rule Implementing Section 1557 of the Affordable Care Act.” </w:t>
      </w:r>
      <w:r>
        <w:rPr>
          <w:rFonts w:ascii="Arial" w:eastAsia="Arial" w:hAnsi="Arial" w:cs="Arial"/>
          <w:i/>
          <w:highlight w:val="white"/>
        </w:rPr>
        <w:t>Department of Health &amp; Human Services</w:t>
      </w:r>
      <w:r>
        <w:rPr>
          <w:rFonts w:ascii="Arial" w:eastAsia="Arial" w:hAnsi="Arial" w:cs="Arial"/>
          <w:highlight w:val="white"/>
        </w:rPr>
        <w:t xml:space="preserve">, 5, Dec., 2024. </w:t>
      </w:r>
      <w:hyperlink r:id="rId36">
        <w:r>
          <w:rPr>
            <w:rFonts w:ascii="Arial" w:eastAsia="Arial" w:hAnsi="Arial" w:cs="Arial"/>
            <w:color w:val="1155CC"/>
            <w:highlight w:val="white"/>
            <w:u w:val="single"/>
          </w:rPr>
          <w:t>https://www.hhs.gov/sites/default/files/ocr-dcl-section-1557-language-access.pdf</w:t>
        </w:r>
      </w:hyperlink>
    </w:p>
    <w:p w:rsidR="0000578C" w:rsidRDefault="00510A19">
      <w:pPr>
        <w:spacing w:line="301" w:lineRule="auto"/>
        <w:rPr>
          <w:rFonts w:ascii="Arial" w:eastAsia="Arial" w:hAnsi="Arial" w:cs="Arial"/>
          <w:highlight w:val="white"/>
        </w:rPr>
      </w:pPr>
      <w:r>
        <w:rPr>
          <w:rFonts w:ascii="Arial" w:eastAsia="Arial" w:hAnsi="Arial" w:cs="Arial"/>
          <w:highlight w:val="white"/>
          <w:vertAlign w:val="superscript"/>
        </w:rPr>
        <w:lastRenderedPageBreak/>
        <w:t>5</w:t>
      </w:r>
      <w:r>
        <w:rPr>
          <w:rFonts w:ascii="Arial" w:eastAsia="Arial" w:hAnsi="Arial" w:cs="Arial"/>
          <w:highlight w:val="white"/>
        </w:rPr>
        <w:t xml:space="preserve"> Jacobs, Elizabeth A.; Shepard, Donald S.; Suaya, Jose A.; Stone, Esta-Lee. “Overcoming Language Barriers in Healthcare: Costs and Benefits of Interpreter Services.” </w:t>
      </w:r>
      <w:r>
        <w:rPr>
          <w:rFonts w:ascii="Arial" w:eastAsia="Arial" w:hAnsi="Arial" w:cs="Arial"/>
          <w:i/>
          <w:highlight w:val="white"/>
        </w:rPr>
        <w:t>National Library of Medicine</w:t>
      </w:r>
      <w:r>
        <w:rPr>
          <w:rFonts w:ascii="Arial" w:eastAsia="Arial" w:hAnsi="Arial" w:cs="Arial"/>
          <w:highlight w:val="white"/>
        </w:rPr>
        <w:t xml:space="preserve">, May, 2004, </w:t>
      </w:r>
      <w:hyperlink r:id="rId37">
        <w:r>
          <w:rPr>
            <w:rFonts w:ascii="Arial" w:eastAsia="Arial" w:hAnsi="Arial" w:cs="Arial"/>
            <w:color w:val="1155CC"/>
            <w:highlight w:val="white"/>
            <w:u w:val="single"/>
          </w:rPr>
          <w:t>https://pmc.ncbi.nlm.nih.gov/articles/PMC1448350/</w:t>
        </w:r>
      </w:hyperlink>
    </w:p>
    <w:p w:rsidR="0000578C" w:rsidRDefault="00510A19">
      <w:pPr>
        <w:spacing w:line="301" w:lineRule="auto"/>
        <w:rPr>
          <w:rFonts w:ascii="Arial" w:eastAsia="Arial" w:hAnsi="Arial" w:cs="Arial"/>
          <w:highlight w:val="white"/>
        </w:rPr>
      </w:pPr>
      <w:r>
        <w:rPr>
          <w:rFonts w:ascii="Arial" w:eastAsia="Arial" w:hAnsi="Arial" w:cs="Arial"/>
          <w:highlight w:val="white"/>
          <w:vertAlign w:val="superscript"/>
        </w:rPr>
        <w:t>6</w:t>
      </w:r>
      <w:r>
        <w:rPr>
          <w:rFonts w:ascii="Arial" w:eastAsia="Arial" w:hAnsi="Arial" w:cs="Arial"/>
          <w:highlight w:val="white"/>
        </w:rPr>
        <w:t xml:space="preserve"> Bohne, Raphael. “Number of Interpreters and Translators in the U.S. 2012-2023.” </w:t>
      </w:r>
      <w:r>
        <w:rPr>
          <w:rFonts w:ascii="Arial" w:eastAsia="Arial" w:hAnsi="Arial" w:cs="Arial"/>
          <w:i/>
          <w:highlight w:val="white"/>
        </w:rPr>
        <w:t>Statista</w:t>
      </w:r>
      <w:r>
        <w:rPr>
          <w:rFonts w:ascii="Arial" w:eastAsia="Arial" w:hAnsi="Arial" w:cs="Arial"/>
          <w:highlight w:val="white"/>
        </w:rPr>
        <w:t xml:space="preserve">, 21, May, 2024, </w:t>
      </w:r>
      <w:hyperlink r:id="rId38">
        <w:r>
          <w:rPr>
            <w:rFonts w:ascii="Arial" w:eastAsia="Arial" w:hAnsi="Arial" w:cs="Arial"/>
            <w:color w:val="1155CC"/>
            <w:highlight w:val="white"/>
            <w:u w:val="single"/>
          </w:rPr>
          <w:t>https://www.statista.com/statistics/320340/number-of-employees-in-interpreting-and-translating-services-us/</w:t>
        </w:r>
      </w:hyperlink>
    </w:p>
    <w:p w:rsidR="0000578C" w:rsidRDefault="00510A19">
      <w:pPr>
        <w:spacing w:line="301" w:lineRule="auto"/>
        <w:rPr>
          <w:rFonts w:ascii="Arial" w:eastAsia="Arial" w:hAnsi="Arial" w:cs="Arial"/>
          <w:vertAlign w:val="superscript"/>
        </w:rPr>
      </w:pPr>
      <w:r>
        <w:rPr>
          <w:rFonts w:ascii="Arial" w:eastAsia="Arial" w:hAnsi="Arial" w:cs="Arial"/>
          <w:highlight w:val="white"/>
          <w:vertAlign w:val="superscript"/>
        </w:rPr>
        <w:t>7</w:t>
      </w:r>
      <w:r>
        <w:rPr>
          <w:rFonts w:ascii="Arial" w:eastAsia="Arial" w:hAnsi="Arial" w:cs="Arial"/>
          <w:highlight w:val="white"/>
        </w:rPr>
        <w:t xml:space="preserve"> GLOBO Language Solutions. “Introducing GLOBO KAI™</w:t>
      </w:r>
      <w:r>
        <w:rPr>
          <w:rFonts w:ascii="Arial" w:eastAsia="Arial" w:hAnsi="Arial" w:cs="Arial"/>
        </w:rPr>
        <w:t xml:space="preserve">.” </w:t>
      </w:r>
      <w:r>
        <w:rPr>
          <w:rFonts w:ascii="Arial" w:eastAsia="Arial" w:hAnsi="Arial" w:cs="Arial"/>
          <w:i/>
        </w:rPr>
        <w:t>GLOBO</w:t>
      </w:r>
      <w:r>
        <w:rPr>
          <w:rFonts w:ascii="Arial" w:eastAsia="Arial" w:hAnsi="Arial" w:cs="Arial"/>
        </w:rPr>
        <w:t xml:space="preserve">, 11, June, 2025, </w:t>
      </w:r>
      <w:hyperlink r:id="rId39">
        <w:r>
          <w:rPr>
            <w:rFonts w:ascii="Arial" w:eastAsia="Arial" w:hAnsi="Arial" w:cs="Arial"/>
            <w:color w:val="1155CC"/>
            <w:u w:val="single"/>
          </w:rPr>
          <w:t>https://www.helloglobo.com/globo-ai</w:t>
        </w:r>
      </w:hyperlink>
    </w:p>
    <w:p w:rsidR="0000578C" w:rsidRDefault="00510A19">
      <w:pPr>
        <w:spacing w:line="301" w:lineRule="auto"/>
        <w:rPr>
          <w:rFonts w:ascii="Arial" w:eastAsia="Arial" w:hAnsi="Arial" w:cs="Arial"/>
          <w:highlight w:val="white"/>
        </w:rPr>
      </w:pPr>
      <w:r>
        <w:rPr>
          <w:rFonts w:ascii="Arial" w:eastAsia="Arial" w:hAnsi="Arial" w:cs="Arial"/>
          <w:vertAlign w:val="superscript"/>
        </w:rPr>
        <w:t xml:space="preserve">8 </w:t>
      </w:r>
      <w:r>
        <w:rPr>
          <w:rFonts w:ascii="Arial" w:eastAsia="Arial" w:hAnsi="Arial" w:cs="Arial"/>
          <w:highlight w:val="white"/>
        </w:rPr>
        <w:t xml:space="preserve">GLOBO Language Solutions. “GLOBO Connect App: Any Place. Any Time.” </w:t>
      </w:r>
      <w:r>
        <w:rPr>
          <w:rFonts w:ascii="Arial" w:eastAsia="Arial" w:hAnsi="Arial" w:cs="Arial"/>
          <w:i/>
          <w:highlight w:val="white"/>
        </w:rPr>
        <w:t>GLOBO</w:t>
      </w:r>
      <w:r>
        <w:rPr>
          <w:rFonts w:ascii="Arial" w:eastAsia="Arial" w:hAnsi="Arial" w:cs="Arial"/>
          <w:highlight w:val="white"/>
        </w:rPr>
        <w:t xml:space="preserve">, </w:t>
      </w:r>
      <w:hyperlink r:id="rId40">
        <w:r>
          <w:rPr>
            <w:rFonts w:ascii="Arial" w:eastAsia="Arial" w:hAnsi="Arial" w:cs="Arial"/>
            <w:color w:val="1155CC"/>
            <w:highlight w:val="white"/>
            <w:u w:val="single"/>
          </w:rPr>
          <w:t>https://www.helloglobo.com/product/globo-connect-application</w:t>
        </w:r>
      </w:hyperlink>
    </w:p>
    <w:p w:rsidR="0000578C" w:rsidRDefault="00510A19">
      <w:pPr>
        <w:spacing w:line="301" w:lineRule="auto"/>
        <w:rPr>
          <w:rFonts w:ascii="Arial" w:eastAsia="Arial" w:hAnsi="Arial" w:cs="Arial"/>
          <w:highlight w:val="white"/>
        </w:rPr>
      </w:pPr>
      <w:r>
        <w:rPr>
          <w:rFonts w:ascii="Arial" w:eastAsia="Arial" w:hAnsi="Arial" w:cs="Arial"/>
          <w:highlight w:val="white"/>
          <w:vertAlign w:val="superscript"/>
        </w:rPr>
        <w:t xml:space="preserve">9 </w:t>
      </w:r>
      <w:r>
        <w:rPr>
          <w:rFonts w:ascii="Arial" w:eastAsia="Arial" w:hAnsi="Arial" w:cs="Arial"/>
          <w:highlight w:val="white"/>
        </w:rPr>
        <w:t xml:space="preserve">GLOBO Language Solutions. “GLOBO HQ: The Platform. An Easier Way to Manage Language Support.” </w:t>
      </w:r>
      <w:r>
        <w:rPr>
          <w:rFonts w:ascii="Arial" w:eastAsia="Arial" w:hAnsi="Arial" w:cs="Arial"/>
          <w:i/>
          <w:highlight w:val="white"/>
        </w:rPr>
        <w:t>GLOBO</w:t>
      </w:r>
      <w:r>
        <w:rPr>
          <w:rFonts w:ascii="Arial" w:eastAsia="Arial" w:hAnsi="Arial" w:cs="Arial"/>
          <w:highlight w:val="white"/>
        </w:rPr>
        <w:t xml:space="preserve">, </w:t>
      </w:r>
      <w:hyperlink r:id="rId41">
        <w:r>
          <w:rPr>
            <w:rFonts w:ascii="Arial" w:eastAsia="Arial" w:hAnsi="Arial" w:cs="Arial"/>
            <w:color w:val="1155CC"/>
            <w:highlight w:val="white"/>
            <w:u w:val="single"/>
          </w:rPr>
          <w:t>https://www.helloglobo.com/product/globo-hq</w:t>
        </w:r>
      </w:hyperlink>
    </w:p>
    <w:p w:rsidR="0000578C" w:rsidRDefault="00510A19">
      <w:pPr>
        <w:spacing w:line="301" w:lineRule="auto"/>
        <w:rPr>
          <w:rFonts w:ascii="Arial" w:eastAsia="Arial" w:hAnsi="Arial" w:cs="Arial"/>
          <w:highlight w:val="white"/>
        </w:rPr>
      </w:pPr>
      <w:r>
        <w:rPr>
          <w:rFonts w:ascii="Arial" w:eastAsia="Arial" w:hAnsi="Arial" w:cs="Arial"/>
          <w:highlight w:val="white"/>
          <w:vertAlign w:val="superscript"/>
        </w:rPr>
        <w:t xml:space="preserve">10 </w:t>
      </w:r>
      <w:r>
        <w:rPr>
          <w:rFonts w:ascii="Arial" w:eastAsia="Arial" w:hAnsi="Arial" w:cs="Arial"/>
          <w:highlight w:val="white"/>
        </w:rPr>
        <w:t xml:space="preserve">Eastburn, Jack; Fowkes, Jen; Kellner, Karl; Swanson, Brad. “Digital Transformation: Health Systems’ Investment Priorities.” </w:t>
      </w:r>
      <w:r>
        <w:rPr>
          <w:rFonts w:ascii="Arial" w:eastAsia="Arial" w:hAnsi="Arial" w:cs="Arial"/>
          <w:i/>
          <w:highlight w:val="white"/>
        </w:rPr>
        <w:t>McKinsey &amp; Company</w:t>
      </w:r>
      <w:r>
        <w:rPr>
          <w:rFonts w:ascii="Arial" w:eastAsia="Arial" w:hAnsi="Arial" w:cs="Arial"/>
          <w:highlight w:val="white"/>
        </w:rPr>
        <w:t xml:space="preserve">, 7, June, 2024, </w:t>
      </w:r>
      <w:hyperlink r:id="rId42">
        <w:r>
          <w:rPr>
            <w:rFonts w:ascii="Arial" w:eastAsia="Arial" w:hAnsi="Arial" w:cs="Arial"/>
            <w:color w:val="1155CC"/>
            <w:highlight w:val="white"/>
            <w:u w:val="single"/>
          </w:rPr>
          <w:t>https://www.mckinsey.com/industries/healthcare/our-insights/digital-transformation-health-systems-investment-priorities</w:t>
        </w:r>
      </w:hyperlink>
    </w:p>
    <w:p w:rsidR="0000578C" w:rsidRDefault="00510A19">
      <w:pPr>
        <w:spacing w:line="301" w:lineRule="auto"/>
        <w:rPr>
          <w:rFonts w:ascii="Arial" w:eastAsia="Arial" w:hAnsi="Arial" w:cs="Arial"/>
        </w:rPr>
      </w:pPr>
      <w:r>
        <w:rPr>
          <w:rFonts w:ascii="Arial" w:eastAsia="Arial" w:hAnsi="Arial" w:cs="Arial"/>
          <w:highlight w:val="white"/>
          <w:vertAlign w:val="superscript"/>
        </w:rPr>
        <w:t xml:space="preserve">11 </w:t>
      </w:r>
      <w:r>
        <w:rPr>
          <w:rFonts w:ascii="Arial" w:eastAsia="Arial" w:hAnsi="Arial" w:cs="Arial"/>
          <w:highlight w:val="white"/>
        </w:rPr>
        <w:t>GLOBO Language Solutions. “GLOBO KAI AI Interpreter Now Available at 3,000 Healthcare Provider Sites</w:t>
      </w:r>
      <w:r>
        <w:rPr>
          <w:rFonts w:ascii="Arial" w:eastAsia="Arial" w:hAnsi="Arial" w:cs="Arial"/>
        </w:rPr>
        <w:t xml:space="preserve">.” </w:t>
      </w:r>
      <w:r>
        <w:rPr>
          <w:rFonts w:ascii="Arial" w:eastAsia="Arial" w:hAnsi="Arial" w:cs="Arial"/>
          <w:i/>
        </w:rPr>
        <w:t>GLOBO</w:t>
      </w:r>
      <w:r>
        <w:rPr>
          <w:rFonts w:ascii="Arial" w:eastAsia="Arial" w:hAnsi="Arial" w:cs="Arial"/>
        </w:rPr>
        <w:t xml:space="preserve">, 11, June, 2025, </w:t>
      </w:r>
      <w:hyperlink r:id="rId43">
        <w:r>
          <w:rPr>
            <w:rFonts w:ascii="Arial" w:eastAsia="Arial" w:hAnsi="Arial" w:cs="Arial"/>
            <w:color w:val="1155CC"/>
            <w:u w:val="single"/>
          </w:rPr>
          <w:t>https://www.helloglobo.com/blog/globo-kai-ai-interpreter-now-available-at-3000-healthcare-provider-sites</w:t>
        </w:r>
      </w:hyperlink>
    </w:p>
    <w:p w:rsidR="0000578C" w:rsidRDefault="00510A19">
      <w:pPr>
        <w:spacing w:line="301" w:lineRule="auto"/>
        <w:rPr>
          <w:rFonts w:ascii="Arial" w:eastAsia="Arial" w:hAnsi="Arial" w:cs="Arial"/>
        </w:rPr>
      </w:pPr>
      <w:r>
        <w:rPr>
          <w:rFonts w:ascii="Arial" w:eastAsia="Arial" w:hAnsi="Arial" w:cs="Arial"/>
          <w:vertAlign w:val="superscript"/>
        </w:rPr>
        <w:t xml:space="preserve">12 </w:t>
      </w:r>
      <w:r>
        <w:rPr>
          <w:rFonts w:ascii="Arial" w:eastAsia="Arial" w:hAnsi="Arial" w:cs="Arial"/>
        </w:rPr>
        <w:t xml:space="preserve">Sliwinski, Kathy; Kutney-Lee, Ann; McHugh, Matthew D.; Lasater, Kara B. “A Review of Disparities in Outcomes of Hospitalized Patients with Limited English Proficiency: The Importance of Nursing Resources.” </w:t>
      </w:r>
      <w:r>
        <w:rPr>
          <w:rFonts w:ascii="Arial" w:eastAsia="Arial" w:hAnsi="Arial" w:cs="Arial"/>
          <w:i/>
        </w:rPr>
        <w:t>National Library of Medicine</w:t>
      </w:r>
      <w:r>
        <w:rPr>
          <w:rFonts w:ascii="Arial" w:eastAsia="Arial" w:hAnsi="Arial" w:cs="Arial"/>
        </w:rPr>
        <w:t xml:space="preserve"> (NIH), </w:t>
      </w:r>
      <w:hyperlink r:id="rId44" w:anchor=":~:text=A%20strong%20body%20of%20research,that%20resulted%20in%20physical%20harm">
        <w:r>
          <w:rPr>
            <w:rFonts w:ascii="Arial" w:eastAsia="Arial" w:hAnsi="Arial" w:cs="Arial"/>
            <w:color w:val="1155CC"/>
            <w:u w:val="single"/>
          </w:rPr>
          <w:t>https://pmc.ncbi.nlm.nih.gov/articles/PMC11047028/#:~:text=A%20strong%20body%20of%20research,that%20resulted%20in%20physical%20harm</w:t>
        </w:r>
      </w:hyperlink>
      <w:r>
        <w:rPr>
          <w:rFonts w:ascii="Arial" w:eastAsia="Arial" w:hAnsi="Arial" w:cs="Arial"/>
        </w:rPr>
        <w:t>.</w:t>
      </w:r>
    </w:p>
    <w:p w:rsidR="0000578C" w:rsidRDefault="00510A19">
      <w:pPr>
        <w:pStyle w:val="Heading1"/>
        <w:keepNext w:val="0"/>
        <w:keepLines w:val="0"/>
        <w:pBdr>
          <w:top w:val="none" w:sz="0" w:space="11" w:color="auto"/>
          <w:bottom w:val="none" w:sz="0" w:space="11" w:color="auto"/>
          <w:between w:val="none" w:sz="0" w:space="11" w:color="auto"/>
        </w:pBdr>
        <w:spacing w:before="0" w:after="0" w:line="240" w:lineRule="auto"/>
        <w:rPr>
          <w:rFonts w:ascii="Arial" w:eastAsia="Arial" w:hAnsi="Arial" w:cs="Arial"/>
          <w:color w:val="000000"/>
          <w:sz w:val="24"/>
          <w:szCs w:val="24"/>
        </w:rPr>
      </w:pPr>
      <w:bookmarkStart w:id="3" w:name="_heading=h.5r3qpt6ts82" w:colFirst="0" w:colLast="0"/>
      <w:bookmarkEnd w:id="3"/>
      <w:r>
        <w:rPr>
          <w:rFonts w:ascii="Arial" w:eastAsia="Arial" w:hAnsi="Arial" w:cs="Arial"/>
          <w:color w:val="000000"/>
          <w:sz w:val="24"/>
          <w:szCs w:val="24"/>
          <w:vertAlign w:val="superscript"/>
        </w:rPr>
        <w:t xml:space="preserve">13 </w:t>
      </w:r>
      <w:r>
        <w:rPr>
          <w:rFonts w:ascii="Arial" w:eastAsia="Arial" w:hAnsi="Arial" w:cs="Arial"/>
          <w:color w:val="000000"/>
          <w:sz w:val="24"/>
          <w:szCs w:val="24"/>
        </w:rPr>
        <w:t xml:space="preserve">GLOBO Language Solutions. “Enhancing Experiences &amp; Reducing Costs: Lessons from the GLOBO KAI™ Pilot Program.” </w:t>
      </w:r>
      <w:r>
        <w:rPr>
          <w:rFonts w:ascii="Arial" w:eastAsia="Arial" w:hAnsi="Arial" w:cs="Arial"/>
          <w:i/>
          <w:color w:val="000000"/>
          <w:sz w:val="24"/>
          <w:szCs w:val="24"/>
        </w:rPr>
        <w:t xml:space="preserve">GLOBO, </w:t>
      </w:r>
      <w:r>
        <w:rPr>
          <w:rFonts w:ascii="Arial" w:eastAsia="Arial" w:hAnsi="Arial" w:cs="Arial"/>
          <w:color w:val="000000"/>
          <w:sz w:val="24"/>
          <w:szCs w:val="24"/>
        </w:rPr>
        <w:t>11, June 25,</w:t>
      </w:r>
      <w:hyperlink r:id="rId45">
        <w:r>
          <w:rPr>
            <w:rFonts w:ascii="Arial" w:eastAsia="Arial" w:hAnsi="Arial" w:cs="Arial"/>
            <w:color w:val="1155CC"/>
            <w:sz w:val="24"/>
            <w:szCs w:val="24"/>
            <w:u w:val="single"/>
          </w:rPr>
          <w:t>https://www.helloglobo.com/thmt-ai-pilot-findings-report</w:t>
        </w:r>
      </w:hyperlink>
    </w:p>
    <w:p w:rsidR="0000578C" w:rsidRDefault="0000578C">
      <w:pPr>
        <w:spacing w:line="301" w:lineRule="auto"/>
        <w:rPr>
          <w:rFonts w:ascii="Arial" w:eastAsia="Arial" w:hAnsi="Arial" w:cs="Arial"/>
        </w:rPr>
      </w:pPr>
    </w:p>
    <w:p w:rsidR="0000578C" w:rsidRDefault="00510A19">
      <w:pPr>
        <w:spacing w:line="301" w:lineRule="auto"/>
        <w:rPr>
          <w:rFonts w:ascii="Arial" w:eastAsia="Arial" w:hAnsi="Arial" w:cs="Arial"/>
        </w:rPr>
      </w:pPr>
      <w:r>
        <w:rPr>
          <w:rFonts w:ascii="Arial" w:eastAsia="Arial" w:hAnsi="Arial" w:cs="Arial"/>
          <w:vertAlign w:val="superscript"/>
        </w:rPr>
        <w:lastRenderedPageBreak/>
        <w:t xml:space="preserve">14,16 </w:t>
      </w:r>
      <w:r>
        <w:rPr>
          <w:rFonts w:ascii="Arial" w:eastAsia="Arial" w:hAnsi="Arial" w:cs="Arial"/>
        </w:rPr>
        <w:t xml:space="preserve">GLOBO Language Solutions. “GLOBO Evaluates 100% of Interpreter Sessions with ‘Live Quality’ AI.” </w:t>
      </w:r>
      <w:r>
        <w:rPr>
          <w:rFonts w:ascii="Arial" w:eastAsia="Arial" w:hAnsi="Arial" w:cs="Arial"/>
          <w:i/>
        </w:rPr>
        <w:t>GLOBO</w:t>
      </w:r>
      <w:r>
        <w:rPr>
          <w:rFonts w:ascii="Arial" w:eastAsia="Arial" w:hAnsi="Arial" w:cs="Arial"/>
        </w:rPr>
        <w:t xml:space="preserve">, 11, Mar., 2025, </w:t>
      </w:r>
      <w:hyperlink r:id="rId46">
        <w:r>
          <w:rPr>
            <w:rFonts w:ascii="Arial" w:eastAsia="Arial" w:hAnsi="Arial" w:cs="Arial"/>
            <w:color w:val="1155CC"/>
            <w:u w:val="single"/>
          </w:rPr>
          <w:t>https://www.helloglobo.com/blog/live-quality-press-release</w:t>
        </w:r>
      </w:hyperlink>
    </w:p>
    <w:p w:rsidR="0000578C" w:rsidRPr="00CF7372" w:rsidRDefault="00510A19" w:rsidP="00CF7372">
      <w:pPr>
        <w:spacing w:line="301" w:lineRule="auto"/>
        <w:rPr>
          <w:rFonts w:ascii="Arial" w:eastAsia="Arial" w:hAnsi="Arial" w:cs="Arial"/>
        </w:rPr>
      </w:pPr>
      <w:r>
        <w:rPr>
          <w:rFonts w:ascii="Arial" w:eastAsia="Arial" w:hAnsi="Arial" w:cs="Arial"/>
          <w:vertAlign w:val="superscript"/>
        </w:rPr>
        <w:t>15</w:t>
      </w:r>
      <w:r>
        <w:rPr>
          <w:rFonts w:ascii="Arial" w:eastAsia="Arial" w:hAnsi="Arial" w:cs="Arial"/>
        </w:rPr>
        <w:t xml:space="preserve"> GLOBO Language Solutions. “Enhancing Healthcare Interpreting Standards: Insights from Slator Webinar with GLOBO.” </w:t>
      </w:r>
      <w:r>
        <w:rPr>
          <w:rFonts w:ascii="Arial" w:eastAsia="Arial" w:hAnsi="Arial" w:cs="Arial"/>
          <w:i/>
        </w:rPr>
        <w:t>GLOBO</w:t>
      </w:r>
      <w:r>
        <w:rPr>
          <w:rFonts w:ascii="Arial" w:eastAsia="Arial" w:hAnsi="Arial" w:cs="Arial"/>
        </w:rPr>
        <w:t xml:space="preserve">, </w:t>
      </w:r>
      <w:hyperlink r:id="rId47">
        <w:r>
          <w:rPr>
            <w:rFonts w:ascii="Arial" w:eastAsia="Arial" w:hAnsi="Arial" w:cs="Arial"/>
            <w:color w:val="1155CC"/>
            <w:u w:val="single"/>
          </w:rPr>
          <w:t>https://www.helloglobo.com/blog/enhancing-healthcare-interpreting-standards-slator-webinar-recap</w:t>
        </w:r>
      </w:hyperlink>
      <w:r w:rsidR="00A16CC6" w:rsidRPr="00A16CC6">
        <w:rPr>
          <w:noProof/>
        </w:rPr>
        <w:pict>
          <v:shape id="Freeform: Shape 1648871332" o:spid="_x0000_s1027" style="position:absolute;margin-left:10pt;margin-top:519pt;width:464.05pt;height:75.7pt;z-index:251660288;visibility:visible;mso-position-horizontal-relative:text;mso-position-vertical-relative:text" coordsize="5817235,8851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" adj="-11796480,,5400" path="m,l,885190r5817235,l5817235,,,xe" fillcolor="black" strokecolor="#f2f2f2" strokeweight="3pt">
            <v:stroke startarrowwidth="narrow" startarrowlength="short" endarrowwidth="narrow" endarrowlength="short" miterlimit="5243f" joinstyle="miter"/>
            <v:formulas/>
            <v:path arrowok="t" o:extrusionok="f" o:connecttype="segments" textboxrect="0,0,5817235,885190"/>
            <v:textbox inset="7pt,3pt,7pt,3pt">
              <w:txbxContent>
                <w:p w:rsidR="0000578C" w:rsidRDefault="00510A19">
                  <w:pPr>
                    <w:spacing w:line="277" w:lineRule="auto"/>
                    <w:jc w:val="center"/>
                    <w:textDirection w:val="btLr"/>
                  </w:pPr>
                  <w:r>
                    <w:rPr>
                      <w:color w:val="FFFF00"/>
                      <w:sz w:val="84"/>
                    </w:rPr>
                    <w:t>End Sponsored Content</w:t>
                  </w:r>
                </w:p>
              </w:txbxContent>
            </v:textbox>
          </v:shape>
        </w:pict>
      </w:r>
    </w:p>
    <w:sectPr w:rsidR="0000578C" w:rsidRPr="00CF7372" w:rsidSect="00A16CC6">
      <w:headerReference w:type="default" r:id="rId48"/>
      <w:pgSz w:w="12240" w:h="15840"/>
      <w:pgMar w:top="1440" w:right="1440" w:bottom="1440" w:left="1440"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0ECB" w:rsidRDefault="00210ECB">
      <w:pPr>
        <w:spacing w:after="0" w:line="240" w:lineRule="auto"/>
      </w:pPr>
      <w:r>
        <w:separator/>
      </w:r>
    </w:p>
  </w:endnote>
  <w:endnote w:type="continuationSeparator" w:id="1">
    <w:p w:rsidR="00210ECB" w:rsidRDefault="00210E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sig w:usb0="00000000" w:usb1="00000000" w:usb2="00000000" w:usb3="00000000" w:csb0="00000000" w:csb1="00000000"/>
    <w:embedRegular r:id="rId1" w:fontKey="{5949525D-C6B4-4480-90EE-E76C5016087B}"/>
  </w:font>
  <w:font w:name="Aptos">
    <w:charset w:val="00"/>
    <w:family w:val="swiss"/>
    <w:pitch w:val="variable"/>
    <w:sig w:usb0="20000287" w:usb1="00000003" w:usb2="00000000" w:usb3="00000000" w:csb0="0000019F" w:csb1="00000000"/>
    <w:embedRegular r:id="rId2" w:fontKey="{8D3328EA-D8AE-4620-A841-32E0617B058D}"/>
    <w:embedBold r:id="rId3" w:fontKey="{691A66BF-3FB8-4234-BE3D-1E9437158C41}"/>
    <w:embedItalic r:id="rId4" w:fontKey="{FD753046-BDA5-4197-9633-5696ABFB2806}"/>
  </w:font>
  <w:font w:name="Play">
    <w:charset w:val="00"/>
    <w:family w:val="auto"/>
    <w:pitch w:val="default"/>
    <w:sig w:usb0="00000000" w:usb1="00000000" w:usb2="00000000" w:usb3="00000000" w:csb0="00000000" w:csb1="00000000"/>
    <w:embedRegular r:id="rId5" w:fontKey="{0E0181A1-E869-4244-9268-55852731A2CE}"/>
  </w:font>
  <w:font w:name="Aptos Display">
    <w:charset w:val="00"/>
    <w:family w:val="swiss"/>
    <w:pitch w:val="variable"/>
    <w:sig w:usb0="20000287" w:usb1="00000003" w:usb2="00000000" w:usb3="00000000" w:csb0="0000019F" w:csb1="00000000"/>
    <w:embedRegular r:id="rId6" w:fontKey="{DCB4C7B9-D462-4F38-BDB5-CC26032FEFD7}"/>
  </w:font>
  <w:font w:name="Tahoma">
    <w:panose1 w:val="020B0604030504040204"/>
    <w:charset w:val="00"/>
    <w:family w:val="swiss"/>
    <w:pitch w:val="variable"/>
    <w:sig w:usb0="E1002EFF" w:usb1="C000605B" w:usb2="00000029" w:usb3="00000000" w:csb0="000101FF" w:csb1="00000000"/>
    <w:embedRegular r:id="rId7" w:fontKey="{9C3836C0-7CBE-4E5B-8D53-5D8E9F5E27A3}"/>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0ECB" w:rsidRDefault="00210ECB">
      <w:pPr>
        <w:spacing w:after="0" w:line="240" w:lineRule="auto"/>
      </w:pPr>
      <w:r>
        <w:separator/>
      </w:r>
    </w:p>
  </w:footnote>
  <w:footnote w:type="continuationSeparator" w:id="1">
    <w:p w:rsidR="00210ECB" w:rsidRDefault="00210E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578C" w:rsidRDefault="0000578C"/>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486820"/>
    <w:multiLevelType w:val="multilevel"/>
    <w:tmpl w:val="DF36A740"/>
    <w:lvl w:ilvl="0">
      <w:start w:val="1"/>
      <w:numFmt w:val="bullet"/>
      <w:lvlText w:val=""/>
      <w:lvlJc w:val="left"/>
      <w:pPr>
        <w:ind w:left="720" w:hanging="360"/>
      </w:pPr>
      <w:rPr>
        <w:rFonts w:ascii="Symbol" w:hAnsi="Symbol" w:hint="default"/>
        <w:color w:val="auto"/>
        <w:sz w:val="32"/>
        <w:u w:color="000000" w:themeColor="text1"/>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A1E279A"/>
    <w:multiLevelType w:val="multilevel"/>
    <w:tmpl w:val="CEE23BAE"/>
    <w:lvl w:ilvl="0">
      <w:start w:val="1"/>
      <w:numFmt w:val="bullet"/>
      <w:lvlText w:val=""/>
      <w:lvlJc w:val="left"/>
      <w:pPr>
        <w:ind w:left="720" w:hanging="360"/>
      </w:pPr>
      <w:rPr>
        <w:rFonts w:ascii="Symbol" w:hAnsi="Symbol" w:hint="default"/>
        <w:color w:val="auto"/>
        <w:u w:color="000000" w:themeColor="text1"/>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26042AE4"/>
    <w:multiLevelType w:val="multilevel"/>
    <w:tmpl w:val="3B50CDB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nsid w:val="33CF58BD"/>
    <w:multiLevelType w:val="multilevel"/>
    <w:tmpl w:val="0DEC52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53A64FDA"/>
    <w:multiLevelType w:val="multilevel"/>
    <w:tmpl w:val="50FEA86C"/>
    <w:lvl w:ilvl="0">
      <w:start w:val="1"/>
      <w:numFmt w:val="bullet"/>
      <w:lvlText w:val=""/>
      <w:lvlJc w:val="left"/>
      <w:pPr>
        <w:ind w:left="720" w:hanging="360"/>
      </w:pPr>
      <w:rPr>
        <w:rFonts w:ascii="Symbol" w:hAnsi="Symbol" w:hint="default"/>
        <w:color w:val="auto"/>
        <w:sz w:val="44"/>
        <w:u w:color="000000" w:themeColor="text1"/>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defaultTabStop w:val="720"/>
  <w:characterSpacingControl w:val="doNotCompress"/>
  <w:footnotePr>
    <w:footnote w:id="0"/>
    <w:footnote w:id="1"/>
  </w:footnotePr>
  <w:endnotePr>
    <w:endnote w:id="0"/>
    <w:endnote w:id="1"/>
  </w:endnotePr>
  <w:compat/>
  <w:rsids>
    <w:rsidRoot w:val="0000578C"/>
    <w:rsid w:val="0000578C"/>
    <w:rsid w:val="00210ECB"/>
    <w:rsid w:val="00510A19"/>
    <w:rsid w:val="00944794"/>
    <w:rsid w:val="00A16CC6"/>
    <w:rsid w:val="00CF737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ptos" w:eastAsia="Aptos" w:hAnsi="Aptos" w:cs="Aptos"/>
        <w:sz w:val="24"/>
        <w:szCs w:val="24"/>
        <w:lang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6CC6"/>
  </w:style>
  <w:style w:type="paragraph" w:styleId="Heading1">
    <w:name w:val="heading 1"/>
    <w:basedOn w:val="Normal"/>
    <w:next w:val="Normal"/>
    <w:link w:val="Heading1Char"/>
    <w:uiPriority w:val="9"/>
    <w:qFormat/>
    <w:rsid w:val="00A16CC6"/>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rsid w:val="00A16CC6"/>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rsid w:val="00A16CC6"/>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rsid w:val="00A16CC6"/>
    <w:pPr>
      <w:keepNext/>
      <w:keepLines/>
      <w:spacing w:before="80" w:after="40"/>
      <w:outlineLvl w:val="3"/>
    </w:pPr>
    <w:rPr>
      <w:i/>
      <w:color w:val="0F4761"/>
    </w:rPr>
  </w:style>
  <w:style w:type="paragraph" w:styleId="Heading5">
    <w:name w:val="heading 5"/>
    <w:basedOn w:val="Normal"/>
    <w:next w:val="Normal"/>
    <w:link w:val="Heading5Char"/>
    <w:uiPriority w:val="9"/>
    <w:semiHidden/>
    <w:unhideWhenUsed/>
    <w:qFormat/>
    <w:rsid w:val="00A16CC6"/>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rsid w:val="00A16CC6"/>
    <w:pPr>
      <w:keepNext/>
      <w:keepLines/>
      <w:spacing w:before="40" w:after="0"/>
      <w:outlineLvl w:val="5"/>
    </w:pPr>
    <w:rPr>
      <w:i/>
      <w:color w:val="595959"/>
    </w:rPr>
  </w:style>
  <w:style w:type="paragraph" w:styleId="Heading7">
    <w:name w:val="heading 7"/>
    <w:basedOn w:val="Normal"/>
    <w:next w:val="Normal"/>
    <w:link w:val="Heading7Char"/>
    <w:uiPriority w:val="9"/>
    <w:semiHidden/>
    <w:unhideWhenUsed/>
    <w:qFormat/>
    <w:rsid w:val="00603B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3B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3B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rsid w:val="00A16CC6"/>
    <w:tblPr>
      <w:tblCellMar>
        <w:top w:w="0" w:type="dxa"/>
        <w:left w:w="0" w:type="dxa"/>
        <w:bottom w:w="0" w:type="dxa"/>
        <w:right w:w="0" w:type="dxa"/>
      </w:tblCellMar>
    </w:tblPr>
  </w:style>
  <w:style w:type="paragraph" w:styleId="Title">
    <w:name w:val="Title"/>
    <w:basedOn w:val="Normal"/>
    <w:next w:val="Normal"/>
    <w:link w:val="TitleChar"/>
    <w:uiPriority w:val="10"/>
    <w:qFormat/>
    <w:rsid w:val="00A16CC6"/>
    <w:pPr>
      <w:spacing w:after="80" w:line="240" w:lineRule="auto"/>
    </w:pPr>
    <w:rPr>
      <w:rFonts w:ascii="Play" w:eastAsia="Play" w:hAnsi="Play" w:cs="Play"/>
      <w:sz w:val="56"/>
      <w:szCs w:val="56"/>
    </w:rPr>
  </w:style>
  <w:style w:type="table" w:customStyle="1" w:styleId="TableNormal1">
    <w:name w:val="TableNormal"/>
    <w:rsid w:val="00EC2131"/>
    <w:tblPr>
      <w:tblCellMar>
        <w:top w:w="0" w:type="dxa"/>
        <w:left w:w="0" w:type="dxa"/>
        <w:bottom w:w="0" w:type="dxa"/>
        <w:right w:w="0" w:type="dxa"/>
      </w:tblCellMar>
    </w:tblPr>
  </w:style>
  <w:style w:type="table" w:customStyle="1" w:styleId="TableNormal2">
    <w:name w:val="TableNormal"/>
    <w:rsid w:val="00F4792F"/>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603B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3B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3B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3B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3B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3B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3B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3B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3BF0"/>
    <w:rPr>
      <w:rFonts w:eastAsiaTheme="majorEastAsia" w:cstheme="majorBidi"/>
      <w:color w:val="272727" w:themeColor="text1" w:themeTint="D8"/>
    </w:rPr>
  </w:style>
  <w:style w:type="character" w:customStyle="1" w:styleId="TitleChar">
    <w:name w:val="Title Char"/>
    <w:basedOn w:val="DefaultParagraphFont"/>
    <w:link w:val="Title"/>
    <w:uiPriority w:val="10"/>
    <w:rsid w:val="00603BF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603B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3BF0"/>
    <w:pPr>
      <w:spacing w:before="160"/>
      <w:jc w:val="center"/>
    </w:pPr>
    <w:rPr>
      <w:i/>
      <w:iCs/>
      <w:color w:val="404040" w:themeColor="text1" w:themeTint="BF"/>
    </w:rPr>
  </w:style>
  <w:style w:type="character" w:customStyle="1" w:styleId="QuoteChar">
    <w:name w:val="Quote Char"/>
    <w:basedOn w:val="DefaultParagraphFont"/>
    <w:link w:val="Quote"/>
    <w:uiPriority w:val="29"/>
    <w:rsid w:val="00603BF0"/>
    <w:rPr>
      <w:i/>
      <w:iCs/>
      <w:color w:val="404040" w:themeColor="text1" w:themeTint="BF"/>
    </w:rPr>
  </w:style>
  <w:style w:type="paragraph" w:styleId="ListParagraph">
    <w:name w:val="List Paragraph"/>
    <w:basedOn w:val="Normal"/>
    <w:uiPriority w:val="34"/>
    <w:qFormat/>
    <w:rsid w:val="00603BF0"/>
    <w:pPr>
      <w:ind w:left="720"/>
      <w:contextualSpacing/>
    </w:pPr>
  </w:style>
  <w:style w:type="character" w:styleId="IntenseEmphasis">
    <w:name w:val="Intense Emphasis"/>
    <w:basedOn w:val="DefaultParagraphFont"/>
    <w:uiPriority w:val="21"/>
    <w:qFormat/>
    <w:rsid w:val="00603BF0"/>
    <w:rPr>
      <w:i/>
      <w:iCs/>
      <w:color w:val="0F4761" w:themeColor="accent1" w:themeShade="BF"/>
    </w:rPr>
  </w:style>
  <w:style w:type="paragraph" w:styleId="IntenseQuote">
    <w:name w:val="Intense Quote"/>
    <w:basedOn w:val="Normal"/>
    <w:next w:val="Normal"/>
    <w:link w:val="IntenseQuoteChar"/>
    <w:uiPriority w:val="30"/>
    <w:qFormat/>
    <w:rsid w:val="00603B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3BF0"/>
    <w:rPr>
      <w:i/>
      <w:iCs/>
      <w:color w:val="0F4761" w:themeColor="accent1" w:themeShade="BF"/>
    </w:rPr>
  </w:style>
  <w:style w:type="character" w:styleId="IntenseReference">
    <w:name w:val="Intense Reference"/>
    <w:basedOn w:val="DefaultParagraphFont"/>
    <w:uiPriority w:val="32"/>
    <w:qFormat/>
    <w:rsid w:val="00603BF0"/>
    <w:rPr>
      <w:b/>
      <w:bCs/>
      <w:smallCaps/>
      <w:color w:val="0F4761" w:themeColor="accent1" w:themeShade="BF"/>
      <w:spacing w:val="5"/>
    </w:rPr>
  </w:style>
  <w:style w:type="character" w:styleId="Hyperlink">
    <w:name w:val="Hyperlink"/>
    <w:basedOn w:val="DefaultParagraphFont"/>
    <w:uiPriority w:val="99"/>
    <w:unhideWhenUsed/>
    <w:rsid w:val="00AF240E"/>
    <w:rPr>
      <w:color w:val="467886" w:themeColor="hyperlink"/>
      <w:u w:val="single"/>
    </w:rPr>
  </w:style>
  <w:style w:type="character" w:customStyle="1" w:styleId="UnresolvedMention1">
    <w:name w:val="Unresolved Mention1"/>
    <w:basedOn w:val="DefaultParagraphFont"/>
    <w:uiPriority w:val="99"/>
    <w:semiHidden/>
    <w:unhideWhenUsed/>
    <w:rsid w:val="00AF240E"/>
    <w:rPr>
      <w:color w:val="605E5C"/>
      <w:shd w:val="clear" w:color="auto" w:fill="E1DFDD"/>
    </w:rPr>
  </w:style>
  <w:style w:type="character" w:styleId="FollowedHyperlink">
    <w:name w:val="FollowedHyperlink"/>
    <w:basedOn w:val="DefaultParagraphFont"/>
    <w:uiPriority w:val="99"/>
    <w:semiHidden/>
    <w:unhideWhenUsed/>
    <w:rsid w:val="00CF0A3F"/>
    <w:rPr>
      <w:color w:val="96607D" w:themeColor="followedHyperlink"/>
      <w:u w:val="single"/>
    </w:rPr>
  </w:style>
  <w:style w:type="character" w:styleId="CommentReference">
    <w:name w:val="annotation reference"/>
    <w:basedOn w:val="DefaultParagraphFont"/>
    <w:uiPriority w:val="99"/>
    <w:semiHidden/>
    <w:unhideWhenUsed/>
    <w:rsid w:val="00CF0A3F"/>
    <w:rPr>
      <w:sz w:val="16"/>
      <w:szCs w:val="16"/>
    </w:rPr>
  </w:style>
  <w:style w:type="paragraph" w:styleId="CommentText">
    <w:name w:val="annotation text"/>
    <w:basedOn w:val="Normal"/>
    <w:link w:val="CommentTextChar"/>
    <w:uiPriority w:val="99"/>
    <w:semiHidden/>
    <w:unhideWhenUsed/>
    <w:rsid w:val="00CF0A3F"/>
    <w:pPr>
      <w:spacing w:line="240" w:lineRule="auto"/>
    </w:pPr>
    <w:rPr>
      <w:sz w:val="20"/>
      <w:szCs w:val="20"/>
    </w:rPr>
  </w:style>
  <w:style w:type="character" w:customStyle="1" w:styleId="CommentTextChar">
    <w:name w:val="Comment Text Char"/>
    <w:basedOn w:val="DefaultParagraphFont"/>
    <w:link w:val="CommentText"/>
    <w:uiPriority w:val="99"/>
    <w:semiHidden/>
    <w:rsid w:val="00CF0A3F"/>
    <w:rPr>
      <w:sz w:val="20"/>
      <w:szCs w:val="20"/>
    </w:rPr>
  </w:style>
  <w:style w:type="paragraph" w:styleId="CommentSubject">
    <w:name w:val="annotation subject"/>
    <w:basedOn w:val="CommentText"/>
    <w:next w:val="CommentText"/>
    <w:link w:val="CommentSubjectChar"/>
    <w:uiPriority w:val="99"/>
    <w:semiHidden/>
    <w:unhideWhenUsed/>
    <w:rsid w:val="00CF0A3F"/>
    <w:rPr>
      <w:b/>
      <w:bCs/>
    </w:rPr>
  </w:style>
  <w:style w:type="character" w:customStyle="1" w:styleId="CommentSubjectChar">
    <w:name w:val="Comment Subject Char"/>
    <w:basedOn w:val="CommentTextChar"/>
    <w:link w:val="CommentSubject"/>
    <w:uiPriority w:val="99"/>
    <w:semiHidden/>
    <w:rsid w:val="00CF0A3F"/>
    <w:rPr>
      <w:b/>
      <w:bCs/>
      <w:sz w:val="20"/>
      <w:szCs w:val="20"/>
    </w:rPr>
  </w:style>
  <w:style w:type="paragraph" w:styleId="NormalWeb">
    <w:name w:val="Normal (Web)"/>
    <w:basedOn w:val="Normal"/>
    <w:uiPriority w:val="99"/>
    <w:semiHidden/>
    <w:unhideWhenUsed/>
    <w:rsid w:val="00871E1A"/>
    <w:pPr>
      <w:spacing w:before="100" w:beforeAutospacing="1" w:after="100" w:afterAutospacing="1" w:line="240" w:lineRule="auto"/>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6F1E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1EE1"/>
    <w:rPr>
      <w:rFonts w:ascii="Tahoma" w:hAnsi="Tahoma" w:cs="Tahoma"/>
      <w:sz w:val="16"/>
      <w:szCs w:val="16"/>
    </w:rPr>
  </w:style>
  <w:style w:type="character" w:styleId="Strong">
    <w:name w:val="Strong"/>
    <w:basedOn w:val="DefaultParagraphFont"/>
    <w:uiPriority w:val="22"/>
    <w:qFormat/>
    <w:rsid w:val="00DD7561"/>
    <w:rPr>
      <w:b/>
      <w:bCs/>
    </w:rPr>
  </w:style>
  <w:style w:type="paragraph" w:styleId="Subtitle">
    <w:name w:val="Subtitle"/>
    <w:basedOn w:val="Normal"/>
    <w:next w:val="Normal"/>
    <w:link w:val="SubtitleChar"/>
    <w:uiPriority w:val="11"/>
    <w:qFormat/>
    <w:rsid w:val="00A16CC6"/>
    <w:rPr>
      <w:color w:val="595959"/>
      <w:sz w:val="28"/>
      <w:szCs w:val="2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yperlink" Target="https://www.hhs.gov/sites/default/files/ocr-dcl-section-1557-language-access.pdf" TargetMode="External"/><Relationship Id="rId18" Type="http://schemas.openxmlformats.org/officeDocument/2006/relationships/hyperlink" Target="https://www.helloglobo.com/product/globo-connect-application" TargetMode="External"/><Relationship Id="rId26" Type="http://schemas.openxmlformats.org/officeDocument/2006/relationships/image" Target="media/image3.jpeg"/><Relationship Id="rId39" Type="http://schemas.openxmlformats.org/officeDocument/2006/relationships/hyperlink" Target="https://www.helloglobo.com/globo-ai" TargetMode="External"/><Relationship Id="rId3" Type="http://schemas.openxmlformats.org/officeDocument/2006/relationships/styles" Target="styles.xml"/><Relationship Id="rId21" Type="http://schemas.openxmlformats.org/officeDocument/2006/relationships/hyperlink" Target="https://www.mckinsey.com/featured-insights/quote-of-the-day/june-18-2024" TargetMode="External"/><Relationship Id="rId34" Type="http://schemas.openxmlformats.org/officeDocument/2006/relationships/hyperlink" Target="https://pmc.ncbi.nlm.nih.gov/articles/PMC11131125/" TargetMode="External"/><Relationship Id="rId42" Type="http://schemas.openxmlformats.org/officeDocument/2006/relationships/hyperlink" Target="https://www.mckinsey.com/industries/healthcare/our-insights/digital-transformation-health-systems-investment-priorities" TargetMode="External"/><Relationship Id="rId47" Type="http://schemas.openxmlformats.org/officeDocument/2006/relationships/hyperlink" Target="https://www.helloglobo.com/blog/enhancing-healthcare-interpreting-standards-slator-webinar-recap"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personalizedhealth.duke.edu/blog/importance-physician-patient-relationships-communication-and-trust-health-care" TargetMode="External"/><Relationship Id="rId17" Type="http://schemas.openxmlformats.org/officeDocument/2006/relationships/hyperlink" Target="http://www.helloglobo.com/globo-ai" TargetMode="External"/><Relationship Id="rId25" Type="http://schemas.openxmlformats.org/officeDocument/2006/relationships/hyperlink" Target="https://affiniahealthcare.org/" TargetMode="External"/><Relationship Id="rId33" Type="http://schemas.openxmlformats.org/officeDocument/2006/relationships/hyperlink" Target="https://slator.com/number-non-english-speaking-households-continues-to-rise-united-states/" TargetMode="External"/><Relationship Id="rId38" Type="http://schemas.openxmlformats.org/officeDocument/2006/relationships/hyperlink" Target="https://www.statista.com/statistics/320340/number-of-employees-in-interpreting-and-translating-services-us/" TargetMode="External"/><Relationship Id="rId46" Type="http://schemas.openxmlformats.org/officeDocument/2006/relationships/hyperlink" Target="https://www.helloglobo.com/blog/live-quality-press-release" TargetMode="Externa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www.mckinsey.com/industries/healthcare/our-insights/digital-transformation-health-systems-investment-priorities" TargetMode="External"/><Relationship Id="rId29" Type="http://schemas.openxmlformats.org/officeDocument/2006/relationships/hyperlink" Target="https://affiniahealthcare.org/" TargetMode="External"/><Relationship Id="rId41" Type="http://schemas.openxmlformats.org/officeDocument/2006/relationships/hyperlink" Target="https://www.helloglobo.com/product/globo-hq"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mc.ncbi.nlm.nih.gov/articles/PMC11131125/" TargetMode="External"/><Relationship Id="rId24" Type="http://schemas.openxmlformats.org/officeDocument/2006/relationships/hyperlink" Target="https://pmc.ncbi.nlm.nih.gov/articles/PMC11047028/" TargetMode="External"/><Relationship Id="rId32" Type="http://schemas.openxmlformats.org/officeDocument/2006/relationships/hyperlink" Target="https://www.helloglobo.com/schedule-a-demo" TargetMode="External"/><Relationship Id="rId37" Type="http://schemas.openxmlformats.org/officeDocument/2006/relationships/hyperlink" Target="https://pmc.ncbi.nlm.nih.gov/articles/PMC1448350/" TargetMode="External"/><Relationship Id="rId40" Type="http://schemas.openxmlformats.org/officeDocument/2006/relationships/hyperlink" Target="https://www.helloglobo.com/product/globo-connect-application" TargetMode="External"/><Relationship Id="rId45" Type="http://schemas.openxmlformats.org/officeDocument/2006/relationships/hyperlink" Target="https://www.helloglobo.com/thmt-ai-pilot-findings-report" TargetMode="External"/><Relationship Id="rId5" Type="http://schemas.openxmlformats.org/officeDocument/2006/relationships/webSettings" Target="webSettings.xml"/><Relationship Id="rId15" Type="http://schemas.openxmlformats.org/officeDocument/2006/relationships/hyperlink" Target="https://www.statista.com/statistics/320340/number-of-employees-in-interpreting-and-translating-services-us/" TargetMode="External"/><Relationship Id="rId23" Type="http://schemas.openxmlformats.org/officeDocument/2006/relationships/hyperlink" Target="https://affiniahealthcare.org/" TargetMode="External"/><Relationship Id="rId28" Type="http://schemas.openxmlformats.org/officeDocument/2006/relationships/hyperlink" Target="https://www.helloglobo.com/thmt-ai-pilot-findings-report" TargetMode="External"/><Relationship Id="rId36" Type="http://schemas.openxmlformats.org/officeDocument/2006/relationships/hyperlink" Target="https://www.hhs.gov/sites/default/files/ocr-dcl-section-1557-language-access.pdf" TargetMode="External"/><Relationship Id="rId49" Type="http://schemas.openxmlformats.org/officeDocument/2006/relationships/fontTable" Target="fontTable.xml"/><Relationship Id="rId10" Type="http://schemas.openxmlformats.org/officeDocument/2006/relationships/hyperlink" Target="https://slator.com/number-non-english-speaking-households-continues-to-rise-united-states/" TargetMode="External"/><Relationship Id="rId19" Type="http://schemas.openxmlformats.org/officeDocument/2006/relationships/hyperlink" Target="https://www.helloglobo.com/product/globo-hq" TargetMode="External"/><Relationship Id="rId31" Type="http://schemas.openxmlformats.org/officeDocument/2006/relationships/hyperlink" Target="https://www.helloglobo.com/blog/enhancing-healthcare-interpreting-standards-slator-webinar-recap" TargetMode="External"/><Relationship Id="rId44" Type="http://schemas.openxmlformats.org/officeDocument/2006/relationships/hyperlink" Target="https://pmc.ncbi.nlm.nih.gov/articles/PMC11047028/"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pmc.ncbi.nlm.nih.gov/articles/PMC1448350/" TargetMode="External"/><Relationship Id="rId22" Type="http://schemas.openxmlformats.org/officeDocument/2006/relationships/hyperlink" Target="https://www.helloglobo.com/blog/globo-kai-ai-interpreter-now-available-at-3000-healthcare-provider-sites" TargetMode="External"/><Relationship Id="rId27" Type="http://schemas.openxmlformats.org/officeDocument/2006/relationships/hyperlink" Target="https://affiniahealthcare.org/" TargetMode="External"/><Relationship Id="rId30" Type="http://schemas.openxmlformats.org/officeDocument/2006/relationships/hyperlink" Target="https://www.helloglobo.com/blog/live-quality-press-release" TargetMode="External"/><Relationship Id="rId35" Type="http://schemas.openxmlformats.org/officeDocument/2006/relationships/hyperlink" Target="https://personalizedhealth.duke.edu/blog/importance-physician-patient-relationships-communication-and-trust-health-care" TargetMode="External"/><Relationship Id="rId43" Type="http://schemas.openxmlformats.org/officeDocument/2006/relationships/hyperlink" Target="https://www.helloglobo.com/blog/globo-kai-ai-interpreter-now-available-at-3000-healthcare-provider-sites" TargetMode="External"/><Relationship Id="rId48" Type="http://schemas.openxmlformats.org/officeDocument/2006/relationships/header" Target="header1.xml"/><Relationship Id="rId8" Type="http://schemas.openxmlformats.org/officeDocument/2006/relationships/hyperlink" Target="https://www.helloglobo.co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BA2cG0mASBjYwwldNF+ayKF1Lw==">CgMxLjAyDmgueGs3MnV3bGE2ZTVkMg5oLnJibmpqMXBlN2ttNzIPaWQuNnRzZjByZXYxdXBvMg1oLjVyM3FwdDZ0czgyOABqJgoUc3VnZ2VzdC44bTJidm5rejNzeGoSDkFuZ2VsYSBKZW5raW5zaiYKFHN1Z2dlc3QudnA3OGR5M3M1MnN3Eg5BbmdlbGEgSmVua2luc2omChRzdWdnZXN0Lm5kbXRrbnhva2JjdRIOQW5nZWxhIEplbmtpbnNqJgoUc3VnZ2VzdC45bTc1ZnlibGVqM20SDkFuZ2VsYSBKZW5raW5zaiYKFHN1Z2dlc3QudWFhdXR0MmNzazF2Eg5BbmdlbGEgSmVua2luc2omChRzdWdnZXN0Lmh3M3hwOXB3Y2J1eRIOQW5nZWxhIEplbmtpbnNyITFJYVVaYUNqRml1bjlmYjkyb0V0NlFEdjVvYjNKdy1xW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3196</Words>
  <Characters>18219</Characters>
  <Application>Microsoft Office Word</Application>
  <DocSecurity>0</DocSecurity>
  <Lines>151</Lines>
  <Paragraphs>42</Paragraphs>
  <ScaleCrop>false</ScaleCrop>
  <Company/>
  <LinksUpToDate>false</LinksUpToDate>
  <CharactersWithSpaces>21373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 Willding Robbins</dc:creator>
  <cp:lastModifiedBy>Tory</cp:lastModifiedBy>
  <cp:revision>2</cp:revision>
  <dcterms:created xsi:type="dcterms:W3CDTF">2025-07-03T16:59:00Z</dcterms:created>
  <dcterms:modified xsi:type="dcterms:W3CDTF">2025-07-03T16:59:00Z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63c6d8e0-32c1-4392-90c4-a3af2f61f7ee</vt:lpwstr>
  </property>
</Properties>
</file>